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DE641" w14:textId="2FCD3A2A" w:rsidR="007C2C0B" w:rsidRDefault="009C73FD" w:rsidP="003E7A72">
      <w:pPr>
        <w:pStyle w:val="Ttulo"/>
        <w:spacing w:after="0" w:line="360" w:lineRule="auto"/>
        <w:jc w:val="center"/>
        <w:outlineLvl w:val="0"/>
        <w:rPr>
          <w:rFonts w:ascii="Times New Roman" w:hAnsi="Times New Roman"/>
          <w:sz w:val="28"/>
          <w:szCs w:val="28"/>
          <w:u w:val="single"/>
          <w:lang w:val="pt-BR"/>
        </w:rPr>
      </w:pPr>
      <w:r>
        <w:rPr>
          <w:rFonts w:ascii="Times New Roman" w:hAnsi="Times New Roman"/>
          <w:sz w:val="28"/>
          <w:szCs w:val="28"/>
          <w:u w:val="single"/>
          <w:lang w:val="pt-BR"/>
        </w:rPr>
        <w:t>X</w:t>
      </w:r>
      <w:r w:rsidR="00081436">
        <w:rPr>
          <w:rFonts w:ascii="Times New Roman" w:hAnsi="Times New Roman"/>
          <w:sz w:val="28"/>
          <w:szCs w:val="28"/>
          <w:u w:val="single"/>
          <w:lang w:val="pt-BR"/>
        </w:rPr>
        <w:t>XV</w:t>
      </w:r>
      <w:r w:rsidR="006B1258" w:rsidRPr="006B1258">
        <w:rPr>
          <w:rFonts w:ascii="Times New Roman" w:hAnsi="Times New Roman"/>
          <w:sz w:val="28"/>
          <w:szCs w:val="28"/>
          <w:u w:val="single"/>
          <w:lang w:val="pt-BR"/>
        </w:rPr>
        <w:t xml:space="preserve"> SIMPÓSIO </w:t>
      </w:r>
      <w:r w:rsidR="00212795">
        <w:rPr>
          <w:rFonts w:ascii="Times New Roman" w:hAnsi="Times New Roman"/>
          <w:sz w:val="28"/>
          <w:szCs w:val="28"/>
          <w:u w:val="single"/>
          <w:lang w:val="pt-BR"/>
        </w:rPr>
        <w:t xml:space="preserve">BRASILEIRO </w:t>
      </w:r>
      <w:r w:rsidR="006B1258" w:rsidRPr="006B1258">
        <w:rPr>
          <w:rFonts w:ascii="Times New Roman" w:hAnsi="Times New Roman"/>
          <w:sz w:val="28"/>
          <w:szCs w:val="28"/>
          <w:u w:val="single"/>
          <w:lang w:val="pt-BR"/>
        </w:rPr>
        <w:t>DE RECURSOS HIDRÍCOS</w:t>
      </w:r>
    </w:p>
    <w:p w14:paraId="321531FD" w14:textId="0EA2EA02" w:rsidR="00824DB1" w:rsidRPr="009E25CD" w:rsidRDefault="00824DB1" w:rsidP="00A824E1">
      <w:pPr>
        <w:pStyle w:val="Ttulo"/>
        <w:spacing w:after="0" w:line="360" w:lineRule="auto"/>
        <w:jc w:val="center"/>
        <w:outlineLvl w:val="0"/>
        <w:rPr>
          <w:rFonts w:ascii="Times New Roman" w:hAnsi="Times New Roman"/>
          <w:sz w:val="28"/>
          <w:szCs w:val="28"/>
          <w:lang w:val="pt-BR"/>
        </w:rPr>
      </w:pPr>
    </w:p>
    <w:p w14:paraId="41CD8739" w14:textId="77777777" w:rsidR="00E0562E" w:rsidRPr="00A824E1" w:rsidRDefault="00E0562E" w:rsidP="006B1258">
      <w:pPr>
        <w:pStyle w:val="Ttulo"/>
        <w:spacing w:after="0" w:line="240" w:lineRule="exact"/>
        <w:jc w:val="center"/>
        <w:rPr>
          <w:rFonts w:ascii="Times New Roman" w:hAnsi="Times New Roman"/>
          <w:sz w:val="16"/>
          <w:szCs w:val="16"/>
          <w:lang w:val="pt-BR"/>
        </w:rPr>
      </w:pPr>
    </w:p>
    <w:p w14:paraId="04C97339" w14:textId="77777777" w:rsidR="00E0562E" w:rsidRPr="00805EAE" w:rsidRDefault="00E0562E" w:rsidP="00C12A53">
      <w:pPr>
        <w:pStyle w:val="Ttulo"/>
        <w:spacing w:after="0" w:line="360" w:lineRule="auto"/>
        <w:jc w:val="center"/>
        <w:rPr>
          <w:rFonts w:ascii="Times New Roman" w:hAnsi="Times New Roman"/>
          <w:b w:val="0"/>
          <w:sz w:val="28"/>
          <w:szCs w:val="28"/>
          <w:lang w:val="pt-BR"/>
        </w:rPr>
      </w:pPr>
      <w:r w:rsidRPr="00805EAE">
        <w:rPr>
          <w:rFonts w:ascii="Times New Roman" w:hAnsi="Times New Roman"/>
          <w:sz w:val="28"/>
          <w:szCs w:val="28"/>
          <w:lang w:val="pt-BR"/>
        </w:rPr>
        <w:t>TÍTULO</w:t>
      </w:r>
      <w:r w:rsidRPr="00805EAE">
        <w:rPr>
          <w:rFonts w:ascii="Times New Roman" w:hAnsi="Times New Roman"/>
          <w:b w:val="0"/>
          <w:sz w:val="28"/>
          <w:szCs w:val="28"/>
          <w:lang w:val="pt-BR"/>
        </w:rPr>
        <w:t xml:space="preserve"> (Título: Times New Roman 14 pt, Negrito, fontes maiúsculas e centralizado) </w:t>
      </w:r>
    </w:p>
    <w:p w14:paraId="3F55F932" w14:textId="77777777" w:rsidR="00E0562E" w:rsidRPr="006B1258" w:rsidRDefault="00E0562E" w:rsidP="006B1258">
      <w:pPr>
        <w:pStyle w:val="Ttulo"/>
        <w:spacing w:after="0" w:line="240" w:lineRule="exact"/>
        <w:jc w:val="center"/>
        <w:rPr>
          <w:rFonts w:ascii="Times New Roman" w:hAnsi="Times New Roman"/>
          <w:sz w:val="20"/>
          <w:lang w:val="pt-BR"/>
        </w:rPr>
      </w:pPr>
    </w:p>
    <w:p w14:paraId="6045C270" w14:textId="275EB0FF" w:rsidR="00E0562E" w:rsidRDefault="00E0562E">
      <w:pPr>
        <w:pStyle w:val="Author"/>
        <w:spacing w:line="360" w:lineRule="auto"/>
        <w:jc w:val="center"/>
        <w:rPr>
          <w:rFonts w:ascii="Times New Roman" w:hAnsi="Times New Roman"/>
          <w:b w:val="0"/>
          <w:szCs w:val="24"/>
          <w:lang w:val="pt-BR"/>
        </w:rPr>
      </w:pPr>
      <w:r w:rsidRPr="00943A17">
        <w:rPr>
          <w:rFonts w:ascii="Times New Roman" w:hAnsi="Times New Roman"/>
          <w:b w:val="0"/>
          <w:i/>
          <w:szCs w:val="24"/>
          <w:lang w:val="pt-BR"/>
        </w:rPr>
        <w:t xml:space="preserve">Autor </w:t>
      </w:r>
      <w:r w:rsidR="0030607B" w:rsidRPr="00943A17">
        <w:rPr>
          <w:rFonts w:ascii="Times New Roman" w:hAnsi="Times New Roman"/>
          <w:b w:val="0"/>
          <w:i/>
          <w:szCs w:val="24"/>
          <w:lang w:val="pt-BR"/>
        </w:rPr>
        <w:t xml:space="preserve">1 </w:t>
      </w:r>
      <w:r w:rsidRPr="00943A17">
        <w:rPr>
          <w:rStyle w:val="Refdenotaderodap"/>
          <w:rFonts w:ascii="Times New Roman" w:hAnsi="Times New Roman"/>
          <w:b w:val="0"/>
          <w:i/>
          <w:szCs w:val="24"/>
          <w:lang w:val="pt-BR"/>
        </w:rPr>
        <w:footnoteReference w:id="1"/>
      </w:r>
      <w:r w:rsidR="0030607B" w:rsidRPr="00943A17">
        <w:rPr>
          <w:rFonts w:ascii="Times New Roman" w:hAnsi="Times New Roman"/>
          <w:b w:val="0"/>
          <w:i/>
          <w:szCs w:val="24"/>
          <w:lang w:val="pt-BR"/>
        </w:rPr>
        <w:t xml:space="preserve"> </w:t>
      </w:r>
      <w:r w:rsidR="00C12A53">
        <w:rPr>
          <w:rFonts w:ascii="Times New Roman" w:hAnsi="Times New Roman"/>
          <w:b w:val="0"/>
          <w:i/>
          <w:szCs w:val="24"/>
          <w:lang w:val="pt-BR"/>
        </w:rPr>
        <w:t>;</w:t>
      </w:r>
      <w:r w:rsidR="0030607B" w:rsidRPr="00943A17">
        <w:rPr>
          <w:rFonts w:ascii="Times New Roman" w:hAnsi="Times New Roman"/>
          <w:b w:val="0"/>
          <w:i/>
          <w:szCs w:val="24"/>
          <w:lang w:val="pt-BR"/>
        </w:rPr>
        <w:t xml:space="preserve"> </w:t>
      </w:r>
      <w:r w:rsidRPr="00943A17">
        <w:rPr>
          <w:rFonts w:ascii="Times New Roman" w:hAnsi="Times New Roman"/>
          <w:b w:val="0"/>
          <w:i/>
          <w:szCs w:val="24"/>
          <w:lang w:val="pt-BR"/>
        </w:rPr>
        <w:t>Co-Autor</w:t>
      </w:r>
      <w:r w:rsidR="0030607B" w:rsidRPr="00943A17">
        <w:rPr>
          <w:rFonts w:ascii="Times New Roman" w:hAnsi="Times New Roman"/>
          <w:b w:val="0"/>
          <w:i/>
          <w:szCs w:val="24"/>
          <w:lang w:val="pt-BR"/>
        </w:rPr>
        <w:t xml:space="preserve"> </w:t>
      </w:r>
      <w:r w:rsidRPr="00943A17">
        <w:rPr>
          <w:rStyle w:val="Refdenotaderodap"/>
          <w:rFonts w:ascii="Times New Roman" w:hAnsi="Times New Roman"/>
          <w:b w:val="0"/>
          <w:i/>
          <w:szCs w:val="24"/>
        </w:rPr>
        <w:footnoteReference w:id="2"/>
      </w:r>
      <w:r w:rsidR="00C12A53">
        <w:rPr>
          <w:rFonts w:ascii="Times New Roman" w:hAnsi="Times New Roman"/>
          <w:b w:val="0"/>
          <w:i/>
          <w:szCs w:val="24"/>
          <w:lang w:val="pt-BR"/>
        </w:rPr>
        <w:t>&amp;</w:t>
      </w:r>
      <w:r w:rsidRPr="00943A17">
        <w:rPr>
          <w:rFonts w:ascii="Times New Roman" w:hAnsi="Times New Roman"/>
          <w:b w:val="0"/>
          <w:i/>
          <w:szCs w:val="24"/>
          <w:lang w:val="pt-BR"/>
        </w:rPr>
        <w:t xml:space="preserve"> Co-Autor</w:t>
      </w:r>
      <w:r w:rsidR="0030607B" w:rsidRPr="00943A17">
        <w:rPr>
          <w:rFonts w:ascii="Times New Roman" w:hAnsi="Times New Roman"/>
          <w:b w:val="0"/>
          <w:i/>
          <w:szCs w:val="24"/>
          <w:lang w:val="pt-BR"/>
        </w:rPr>
        <w:t xml:space="preserve"> </w:t>
      </w:r>
      <w:r w:rsidR="0030607B" w:rsidRPr="00943A17">
        <w:rPr>
          <w:rFonts w:ascii="Times New Roman" w:hAnsi="Times New Roman"/>
          <w:b w:val="0"/>
          <w:i/>
          <w:szCs w:val="24"/>
          <w:vertAlign w:val="superscript"/>
          <w:lang w:val="pt-BR"/>
        </w:rPr>
        <w:t>3</w:t>
      </w:r>
      <w:r w:rsidRPr="006B1258">
        <w:rPr>
          <w:rFonts w:ascii="Times New Roman" w:hAnsi="Times New Roman"/>
          <w:b w:val="0"/>
          <w:szCs w:val="24"/>
          <w:vertAlign w:val="superscript"/>
          <w:lang w:val="pt-BR"/>
        </w:rPr>
        <w:t xml:space="preserve"> </w:t>
      </w:r>
      <w:r w:rsidRPr="005317CC">
        <w:rPr>
          <w:rFonts w:ascii="Times New Roman" w:hAnsi="Times New Roman"/>
          <w:szCs w:val="24"/>
          <w:lang w:val="pt-BR"/>
        </w:rPr>
        <w:t>(</w:t>
      </w:r>
      <w:r w:rsidRPr="005317CC">
        <w:rPr>
          <w:rFonts w:ascii="Times New Roman" w:hAnsi="Times New Roman"/>
          <w:b w:val="0"/>
          <w:szCs w:val="24"/>
          <w:lang w:val="pt-BR"/>
        </w:rPr>
        <w:t xml:space="preserve">Times New Roman 12 pt, </w:t>
      </w:r>
      <w:r w:rsidR="00943A17">
        <w:rPr>
          <w:rFonts w:ascii="Times New Roman" w:hAnsi="Times New Roman"/>
          <w:b w:val="0"/>
          <w:szCs w:val="24"/>
          <w:lang w:val="pt-BR"/>
        </w:rPr>
        <w:t xml:space="preserve">itálico, </w:t>
      </w:r>
      <w:r w:rsidRPr="005317CC">
        <w:rPr>
          <w:rFonts w:ascii="Times New Roman" w:hAnsi="Times New Roman"/>
          <w:b w:val="0"/>
          <w:szCs w:val="24"/>
          <w:lang w:val="pt-BR"/>
        </w:rPr>
        <w:t>separados com ; e centralizado)</w:t>
      </w:r>
    </w:p>
    <w:p w14:paraId="2F83D8D2" w14:textId="29C77023" w:rsidR="003060A4" w:rsidRDefault="003060A4" w:rsidP="00DF6A7B">
      <w:pPr>
        <w:pStyle w:val="Body"/>
        <w:spacing w:after="0"/>
        <w:ind w:firstLine="0"/>
        <w:jc w:val="left"/>
        <w:rPr>
          <w:b/>
          <w:bCs/>
          <w:szCs w:val="24"/>
          <w:lang w:val="pt-BR"/>
        </w:rPr>
      </w:pPr>
      <w:r w:rsidRPr="003060A4">
        <w:rPr>
          <w:b/>
          <w:bCs/>
          <w:szCs w:val="24"/>
          <w:lang w:val="pt-BR"/>
        </w:rPr>
        <w:t xml:space="preserve">Abstract: </w:t>
      </w:r>
      <w:r w:rsidRPr="003060A4">
        <w:rPr>
          <w:szCs w:val="24"/>
          <w:lang w:val="pt-BR"/>
        </w:rPr>
        <w:t>Para os autores que desejarem manter o trabalho completo nos Anais do Simpósio, inserir aqui o mesmo resumo utilizado na página de submissão do trabalho no sistema, com um máximo de 250 palavras, EM INGLÊS ou ESPANHOL.</w:t>
      </w:r>
    </w:p>
    <w:p w14:paraId="5B2BE778" w14:textId="77777777" w:rsidR="003060A4" w:rsidRDefault="003060A4" w:rsidP="00DF6A7B">
      <w:pPr>
        <w:pStyle w:val="Body"/>
        <w:spacing w:after="0"/>
        <w:ind w:firstLine="0"/>
        <w:jc w:val="left"/>
        <w:rPr>
          <w:b/>
          <w:bCs/>
          <w:szCs w:val="24"/>
          <w:lang w:val="pt-BR"/>
        </w:rPr>
      </w:pPr>
    </w:p>
    <w:p w14:paraId="6C9CEA90" w14:textId="6362591A" w:rsidR="00B95C97" w:rsidRDefault="00B95C97" w:rsidP="00DF6A7B">
      <w:pPr>
        <w:pStyle w:val="Body"/>
        <w:spacing w:after="0"/>
        <w:ind w:firstLine="0"/>
        <w:jc w:val="left"/>
        <w:rPr>
          <w:b/>
          <w:bCs/>
          <w:szCs w:val="24"/>
          <w:lang w:val="pt-BR"/>
        </w:rPr>
      </w:pPr>
      <w:r>
        <w:rPr>
          <w:b/>
          <w:bCs/>
          <w:szCs w:val="24"/>
          <w:lang w:val="pt-BR"/>
        </w:rPr>
        <w:t xml:space="preserve">Resumo: </w:t>
      </w:r>
      <w:r w:rsidRPr="00B95C97">
        <w:rPr>
          <w:szCs w:val="24"/>
          <w:lang w:val="pt-BR"/>
        </w:rPr>
        <w:t xml:space="preserve">Para os autores que desejarem manter o trabalho completo nos Anais do Simpósio, </w:t>
      </w:r>
      <w:r w:rsidR="0033481C">
        <w:rPr>
          <w:szCs w:val="24"/>
          <w:lang w:val="pt-BR"/>
        </w:rPr>
        <w:t>inserir aqui o mesmo</w:t>
      </w:r>
      <w:r w:rsidRPr="00B95C97">
        <w:rPr>
          <w:szCs w:val="24"/>
          <w:lang w:val="pt-BR"/>
        </w:rPr>
        <w:t xml:space="preserve"> resumo</w:t>
      </w:r>
      <w:r w:rsidR="0033481C">
        <w:rPr>
          <w:szCs w:val="24"/>
          <w:lang w:val="pt-BR"/>
        </w:rPr>
        <w:t xml:space="preserve"> utilizado na página de submissão do trabalho no sistema</w:t>
      </w:r>
      <w:r w:rsidR="002927C6">
        <w:rPr>
          <w:szCs w:val="24"/>
          <w:lang w:val="pt-BR"/>
        </w:rPr>
        <w:t xml:space="preserve">, </w:t>
      </w:r>
      <w:r w:rsidR="0033481C">
        <w:rPr>
          <w:szCs w:val="24"/>
          <w:lang w:val="pt-BR"/>
        </w:rPr>
        <w:t xml:space="preserve">com um </w:t>
      </w:r>
      <w:r w:rsidR="002927C6">
        <w:rPr>
          <w:szCs w:val="24"/>
          <w:lang w:val="pt-BR"/>
        </w:rPr>
        <w:t>máximo de 250 palavras</w:t>
      </w:r>
      <w:r w:rsidR="0033481C">
        <w:rPr>
          <w:szCs w:val="24"/>
          <w:lang w:val="pt-BR"/>
        </w:rPr>
        <w:t>.</w:t>
      </w:r>
    </w:p>
    <w:p w14:paraId="4C51C74E" w14:textId="4F01278A" w:rsidR="00E0562E" w:rsidRPr="00DF6A7B" w:rsidRDefault="00E0562E" w:rsidP="00DF6A7B">
      <w:pPr>
        <w:pStyle w:val="Body"/>
        <w:spacing w:after="0"/>
        <w:ind w:firstLine="0"/>
        <w:jc w:val="left"/>
        <w:rPr>
          <w:szCs w:val="24"/>
          <w:lang w:val="pt-BR"/>
        </w:rPr>
      </w:pPr>
      <w:r w:rsidRPr="00DF6A7B">
        <w:rPr>
          <w:b/>
          <w:bCs/>
          <w:szCs w:val="24"/>
          <w:lang w:val="pt-BR"/>
        </w:rPr>
        <w:t>Palavras-Chave</w:t>
      </w:r>
      <w:r w:rsidRPr="00DF6A7B">
        <w:rPr>
          <w:szCs w:val="24"/>
          <w:lang w:val="pt-BR"/>
        </w:rPr>
        <w:t xml:space="preserve"> – </w:t>
      </w:r>
    </w:p>
    <w:p w14:paraId="7857E342" w14:textId="77D90146" w:rsidR="00E0562E" w:rsidRDefault="00C600D2" w:rsidP="00C600D2">
      <w:pPr>
        <w:pStyle w:val="Ttulo1"/>
      </w:pPr>
      <w:r>
        <w:t>INTRODUÇÂO</w:t>
      </w:r>
    </w:p>
    <w:p w14:paraId="5186BDFE" w14:textId="77777777" w:rsidR="00934234" w:rsidRDefault="00934234" w:rsidP="00934234">
      <w:pPr>
        <w:pStyle w:val="Ttulo1"/>
      </w:pPr>
      <w:r>
        <w:t>METODOLOGIA</w:t>
      </w:r>
    </w:p>
    <w:p w14:paraId="3D104FCC" w14:textId="6FA6B459" w:rsidR="00C600D2" w:rsidRPr="00934234" w:rsidRDefault="00934234" w:rsidP="00934234">
      <w:pPr>
        <w:pStyle w:val="Ttulo2"/>
      </w:pPr>
      <w:r w:rsidRPr="00934234">
        <w:t xml:space="preserve">Área </w:t>
      </w:r>
      <w:r>
        <w:t>d</w:t>
      </w:r>
      <w:r w:rsidRPr="00934234">
        <w:t>e Estudo</w:t>
      </w:r>
    </w:p>
    <w:p w14:paraId="0EBD0128" w14:textId="7E36F91E" w:rsidR="0006047E" w:rsidRDefault="0006047E" w:rsidP="009E1A76">
      <w:r>
        <w:tab/>
      </w:r>
      <w:commentRangeStart w:id="1"/>
      <w:r>
        <w:t xml:space="preserve">Figura </w:t>
      </w:r>
      <w:commentRangeEnd w:id="1"/>
      <w:r w:rsidR="000520AA">
        <w:rPr>
          <w:rStyle w:val="Refdecomentrio"/>
        </w:rPr>
        <w:commentReference w:id="1"/>
      </w:r>
      <w:r w:rsidR="00E56411">
        <w:fldChar w:fldCharType="begin"/>
      </w:r>
      <w:r w:rsidR="00E56411">
        <w:instrText xml:space="preserve"> SEQ Figura \* ARABIC </w:instrText>
      </w:r>
      <w:r w:rsidR="00E56411">
        <w:fldChar w:fldCharType="separate"/>
      </w:r>
      <w:r w:rsidR="00CF6AE6">
        <w:rPr>
          <w:noProof/>
        </w:rPr>
        <w:t>1</w:t>
      </w:r>
      <w:r w:rsidR="00E56411">
        <w:rPr>
          <w:noProof/>
        </w:rPr>
        <w:fldChar w:fldCharType="end"/>
      </w:r>
      <w:r>
        <w:t xml:space="preserve"> – </w:t>
      </w:r>
    </w:p>
    <w:p w14:paraId="09442950" w14:textId="62297C94" w:rsidR="0006047E" w:rsidRDefault="00E23461" w:rsidP="0006047E">
      <w:pPr>
        <w:keepNext/>
        <w:jc w:val="center"/>
      </w:pPr>
      <w:r>
        <w:rPr>
          <w:noProof/>
        </w:rPr>
        <w:drawing>
          <wp:inline distT="0" distB="0" distL="0" distR="0" wp14:anchorId="4D0988A0" wp14:editId="27B83DD9">
            <wp:extent cx="5300723" cy="2520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5" b="24604"/>
                    <a:stretch/>
                  </pic:blipFill>
                  <pic:spPr bwMode="auto">
                    <a:xfrm>
                      <a:off x="0" y="0"/>
                      <a:ext cx="530072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D364B" w14:textId="2DA0E407" w:rsidR="009E1A76" w:rsidRDefault="009E1A76" w:rsidP="009E1A76">
      <w:pPr>
        <w:keepNext/>
      </w:pPr>
      <w:r>
        <w:tab/>
        <w:t xml:space="preserve">A área de estudo considerada no presente trabalho corresponde a bacia hidrográfica da estação fluviométrica 46902000 localizada no Oeste da Bahia, como apresentado na Figura 1. Essa região está inserida na porção Oeste da sub-bacia do Médio São Francisco, fazendo fronteira com os estados </w:t>
      </w:r>
      <w:r>
        <w:lastRenderedPageBreak/>
        <w:t>do Maranhão, Piauí e Tocantins, abrangendo parte de uma das principais fronteiras agrícolas brasileiras: a região do MATOPIBA.</w:t>
      </w:r>
    </w:p>
    <w:p w14:paraId="1315D2DD" w14:textId="474718C3" w:rsidR="00934234" w:rsidRDefault="008C3528" w:rsidP="008C3528">
      <w:pPr>
        <w:keepNext/>
      </w:pPr>
      <w:r>
        <w:tab/>
        <w:t>O MATOPIBA corresponde a uma região que engloba parcialmente os estados do Maranhão, Tocantins, Piauí e Bahia,</w:t>
      </w:r>
      <w:r w:rsidR="00C0420D">
        <w:t xml:space="preserve"> totalizando uma área de 73 milhões de hectares que compreende cerca de 337 municípios</w:t>
      </w:r>
      <w:r>
        <w:t xml:space="preserve">. </w:t>
      </w:r>
      <w:r w:rsidR="00EC6256">
        <w:t>Em razão de sua topografia plana e do</w:t>
      </w:r>
      <w:r w:rsidR="00934234">
        <w:t>s</w:t>
      </w:r>
      <w:r w:rsidR="00EC6256">
        <w:t xml:space="preserve"> </w:t>
      </w:r>
      <w:r w:rsidR="00934234">
        <w:t>baixos</w:t>
      </w:r>
      <w:r w:rsidR="00EC6256">
        <w:t xml:space="preserve"> custos da terra em relação às áreas consolidadas do Centro-Sul brasileiro, observou-se u</w:t>
      </w:r>
      <w:r>
        <w:t>ma forte expansão agrícola nessa região a partir do ano de 1980</w:t>
      </w:r>
      <w:r w:rsidR="00EC6256">
        <w:t xml:space="preserve"> para cultivo de grãos, em especial.</w:t>
      </w:r>
      <w:r w:rsidR="00BB7D83">
        <w:t xml:space="preserve"> A produção agrícola dessa região é marcada por um sistema intensivo, mecanizado e de alta produtividade, marcada por grandes colheitas de soja, milho e algodão. Em 2018, sua produção de soja e milho correspondeu a cerca de 10% da produção nacional (</w:t>
      </w:r>
      <w:commentRangeStart w:id="2"/>
      <w:r w:rsidR="00BB7D83">
        <w:t>EMBRAPA, 202</w:t>
      </w:r>
      <w:r w:rsidR="0078427D">
        <w:t>0</w:t>
      </w:r>
      <w:commentRangeEnd w:id="2"/>
      <w:r w:rsidR="0078427D">
        <w:rPr>
          <w:rStyle w:val="Refdecomentrio"/>
        </w:rPr>
        <w:commentReference w:id="2"/>
      </w:r>
      <w:r w:rsidR="00BB7D83">
        <w:t>; Freitas, 202</w:t>
      </w:r>
      <w:r w:rsidR="0078427D">
        <w:t>2</w:t>
      </w:r>
      <w:r w:rsidR="00BB7D83">
        <w:t>)</w:t>
      </w:r>
      <w:r w:rsidR="00934234">
        <w:t>.</w:t>
      </w:r>
    </w:p>
    <w:p w14:paraId="48E321B1" w14:textId="1999D8C9" w:rsidR="00C600D2" w:rsidRDefault="00C600D2" w:rsidP="00760CF8">
      <w:pPr>
        <w:pStyle w:val="Ttulo2"/>
      </w:pPr>
      <w:r>
        <w:t>Dados Utilizados</w:t>
      </w:r>
    </w:p>
    <w:p w14:paraId="3E1E4C98" w14:textId="0E3B93C6" w:rsidR="00C600D2" w:rsidRDefault="00113461" w:rsidP="00C600D2">
      <w:r>
        <w:tab/>
      </w:r>
      <w:r w:rsidR="002D1063">
        <w:t>No presente estudo foram utilizados dados hidrometeorológicos de precipitação e vazão. Os dados</w:t>
      </w:r>
      <w:r w:rsidR="0053236A">
        <w:t xml:space="preserve"> da estação fluviométrica 46902000, destacada na Figura 1, </w:t>
      </w:r>
      <w:r w:rsidR="002D1063">
        <w:t>foram obtidos na base de dados do HIDROWEB da Agência Nacional de Águas (ANA)</w:t>
      </w:r>
      <w:r w:rsidR="0053236A">
        <w:t xml:space="preserve">. </w:t>
      </w:r>
      <w:r w:rsidR="00A67ABA">
        <w:t>A série temporal de vazão diária obtida para essa estação apresentou poucas falhas diárias em cada um dos meses observados, sendo possível adotar o período entre 1935 e 2020 (86 anos).</w:t>
      </w:r>
    </w:p>
    <w:p w14:paraId="344E8618" w14:textId="62F69424" w:rsidR="000B0BA6" w:rsidRDefault="00A67ABA" w:rsidP="00C600D2">
      <w:r>
        <w:tab/>
        <w:t>No tocante aos dados de precipitação, as estações pluviométricas contidas e nas imediações da área de drenagem do fluviômetro 46902000 apresentaram longos períodos de falhas e/ou séries consideravelmente curtas em relação ao tamanho da série de vazão disponível. Objetivando não se desperdiçar dados de vazão</w:t>
      </w:r>
      <w:r w:rsidR="000B0BA6">
        <w:t xml:space="preserve">, reduzindo a série de vazão para viabilizar a utilização dos dados de algumas dessas estações pluviométricas com séries curtas, optou-se pela utilização dos dados oriundos do </w:t>
      </w:r>
      <w:r w:rsidR="000B0BA6" w:rsidRPr="000B0BA6">
        <w:rPr>
          <w:i/>
          <w:iCs/>
        </w:rPr>
        <w:t>grid</w:t>
      </w:r>
      <w:r w:rsidR="000B0BA6">
        <w:t xml:space="preserve"> de precipitação global do </w:t>
      </w:r>
      <w:r w:rsidR="000B0BA6" w:rsidRPr="000B0BA6">
        <w:rPr>
          <w:i/>
          <w:iCs/>
        </w:rPr>
        <w:t>Global Precipitation Climatology Centre</w:t>
      </w:r>
      <w:r w:rsidR="000B0BA6">
        <w:t xml:space="preserve"> (GPCC). </w:t>
      </w:r>
      <w:r w:rsidR="000520AA">
        <w:t>Mais informações sobre os dados de precipitação fornecidos pelo GPCC podem ser consultadas em (</w:t>
      </w:r>
      <w:r w:rsidR="000520AA" w:rsidRPr="000B0BA6">
        <w:t xml:space="preserve">Schneider </w:t>
      </w:r>
      <w:r w:rsidR="000520AA" w:rsidRPr="000B0BA6">
        <w:rPr>
          <w:i/>
          <w:iCs/>
        </w:rPr>
        <w:t>et al</w:t>
      </w:r>
      <w:r w:rsidR="000520AA" w:rsidRPr="000B0BA6">
        <w:t>., 2018).</w:t>
      </w:r>
      <w:r w:rsidR="000520AA" w:rsidRPr="000520AA">
        <w:t xml:space="preserve"> </w:t>
      </w:r>
    </w:p>
    <w:p w14:paraId="2A86BE57" w14:textId="61626121" w:rsidR="000B0BA6" w:rsidRPr="000520AA" w:rsidRDefault="000B0BA6" w:rsidP="00C600D2">
      <w:r>
        <w:tab/>
      </w:r>
      <w:r w:rsidR="000520AA">
        <w:t xml:space="preserve">O </w:t>
      </w:r>
      <w:r w:rsidR="000520AA">
        <w:rPr>
          <w:i/>
          <w:iCs/>
        </w:rPr>
        <w:t>grid</w:t>
      </w:r>
      <w:r w:rsidR="000520AA">
        <w:t xml:space="preserve"> de precipitações mensais com resolução de 1,0° x 1,0° do GPCC foi adotado para obtenção da série temporal de precipitação média da bacia hidrográfica analisada entre 1935 e 2020. Por se tratar de um grid regular, a precipitação média da bacia foi determinada através da média aritmética dos pontos de grades contidos</w:t>
      </w:r>
      <w:r w:rsidR="002B4E15">
        <w:t xml:space="preserve"> na área de drenagem do fluviômetro 46902000</w:t>
      </w:r>
      <w:r w:rsidR="000520AA">
        <w:t xml:space="preserve">. </w:t>
      </w:r>
    </w:p>
    <w:p w14:paraId="18116288" w14:textId="0E584C16" w:rsidR="00C600D2" w:rsidRDefault="00C600D2" w:rsidP="00760CF8">
      <w:pPr>
        <w:pStyle w:val="Ttulo2"/>
      </w:pPr>
      <w:r>
        <w:t>Índices de Seca</w:t>
      </w:r>
    </w:p>
    <w:p w14:paraId="5C79AF29" w14:textId="27AD82AD" w:rsidR="00D44358" w:rsidRDefault="00760CF8" w:rsidP="00C600D2">
      <w:r>
        <w:tab/>
        <w:t xml:space="preserve">No presente trabalho, </w:t>
      </w:r>
      <w:r w:rsidR="00D44358">
        <w:t xml:space="preserve">os índices </w:t>
      </w:r>
      <w:r w:rsidR="00D44358">
        <w:rPr>
          <w:i/>
          <w:iCs/>
        </w:rPr>
        <w:t xml:space="preserve">Standard Precipitation Index </w:t>
      </w:r>
      <w:r w:rsidR="00D44358">
        <w:t>(SPI)</w:t>
      </w:r>
      <w:r w:rsidR="00581766">
        <w:t xml:space="preserve"> (</w:t>
      </w:r>
      <w:r w:rsidR="00581766" w:rsidRPr="00581766">
        <w:t>McKee</w:t>
      </w:r>
      <w:r w:rsidR="00113461">
        <w:t xml:space="preserve"> </w:t>
      </w:r>
      <w:r w:rsidR="00113461">
        <w:rPr>
          <w:i/>
          <w:iCs/>
        </w:rPr>
        <w:t>et al.</w:t>
      </w:r>
      <w:r w:rsidR="00581766">
        <w:t>, 1993)</w:t>
      </w:r>
      <w:r w:rsidR="00D44358">
        <w:t xml:space="preserve"> e </w:t>
      </w:r>
      <w:r w:rsidR="00D44358">
        <w:rPr>
          <w:i/>
          <w:iCs/>
        </w:rPr>
        <w:t xml:space="preserve">Standard Runoff Index </w:t>
      </w:r>
      <w:r w:rsidR="00D44358">
        <w:t>(SRI)</w:t>
      </w:r>
      <w:r w:rsidR="00B11B6E">
        <w:t xml:space="preserve"> (Shukla e Wood, 2008)</w:t>
      </w:r>
      <w:r w:rsidR="00D44358">
        <w:t xml:space="preserve"> foram utilizados, respectivamente, para caracterizar as secas meteorológicas e hidrológicas da bacia hidrográfica analisada. </w:t>
      </w:r>
      <w:r w:rsidR="00B11B6E">
        <w:t xml:space="preserve">Na devida ordem, esses índices </w:t>
      </w:r>
      <w:r w:rsidR="00D44358">
        <w:t>avalia</w:t>
      </w:r>
      <w:r w:rsidR="00B11B6E">
        <w:t>m</w:t>
      </w:r>
      <w:r w:rsidR="00D44358">
        <w:t xml:space="preserve"> a severidade das anomalias das séries de precipitação e vazão</w:t>
      </w:r>
      <w:r w:rsidR="00B11B6E">
        <w:t xml:space="preserve">, fornecendo um índice padronizado que é utilizado como </w:t>
      </w:r>
      <w:r w:rsidR="00581766">
        <w:t>medida probabilística da magnitude de um evento úmido o</w:t>
      </w:r>
      <w:r w:rsidR="000C4F58">
        <w:t>u</w:t>
      </w:r>
      <w:r w:rsidR="00581766">
        <w:t xml:space="preserve"> seco.</w:t>
      </w:r>
    </w:p>
    <w:p w14:paraId="4448E26B" w14:textId="45A68652" w:rsidR="00244D2C" w:rsidRDefault="00E34491" w:rsidP="00E34491">
      <w:r>
        <w:tab/>
      </w:r>
      <w:r w:rsidR="00461743">
        <w:t xml:space="preserve">A metodologia para determinação do SPI consiste em uma comparação </w:t>
      </w:r>
      <w:r w:rsidR="008C1BA6">
        <w:t xml:space="preserve">da precipitação acumulada em uma </w:t>
      </w:r>
      <w:r w:rsidR="006A3298">
        <w:t>janela</w:t>
      </w:r>
      <w:r w:rsidR="0016665E">
        <w:t xml:space="preserve"> (escala)</w:t>
      </w:r>
      <w:r w:rsidR="008C1BA6">
        <w:t xml:space="preserve"> de </w:t>
      </w:r>
      <m:oMath>
        <m:r>
          <w:rPr>
            <w:rFonts w:ascii="Cambria Math" w:hAnsi="Cambria Math"/>
          </w:rPr>
          <m:t>n</m:t>
        </m:r>
      </m:oMath>
      <w:r w:rsidR="008C1BA6">
        <w:t xml:space="preserve"> meses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n∈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1,2,⋯,j</m:t>
                </m:r>
              </m:e>
            </m:d>
          </m:e>
        </m:d>
      </m:oMath>
      <w:r w:rsidR="008C1BA6">
        <w:t xml:space="preserve"> com </w:t>
      </w:r>
      <w:r w:rsidR="006A3298">
        <w:t xml:space="preserve">a </w:t>
      </w:r>
      <w:r w:rsidR="0016665E">
        <w:t>Função de Distribuição de probabilidades Acumuladas (FDA)</w:t>
      </w:r>
      <w:r w:rsidR="006A3298">
        <w:t xml:space="preserve"> da série temporal de longo</w:t>
      </w:r>
      <w:r w:rsidR="00F96C78">
        <w:t xml:space="preserve"> </w:t>
      </w:r>
      <w:r w:rsidR="006A3298">
        <w:t xml:space="preserve">prazo das precipitações acumuladas nessa mesma janela. </w:t>
      </w:r>
      <w:r w:rsidR="00F96C78">
        <w:t xml:space="preserve">Em síntese, pode-se descrever os procedimentos para determinação do SPI em 5 passos: i) determinação da </w:t>
      </w:r>
      <w:r w:rsidR="0016665E">
        <w:t>FDA</w:t>
      </w:r>
      <w:r w:rsidR="00F96C78">
        <w:t xml:space="preserve"> série temporal de precipitações acumuladas em uma janela de </w:t>
      </w:r>
      <m:oMath>
        <m:r>
          <w:rPr>
            <w:rFonts w:ascii="Cambria Math" w:hAnsi="Cambria Math"/>
          </w:rPr>
          <m:t>n</m:t>
        </m:r>
      </m:oMath>
      <w:r w:rsidR="00F96C78">
        <w:t xml:space="preserve"> meses; ii) determinação das probabilidades de não excedência de cada um dos valores da série temporal e iii) utilização dessas probabilidades na função inversa de uma distribuição normal padrão, retornando o valor do SPI (</w:t>
      </w:r>
      <w:r w:rsidR="00113461" w:rsidRPr="00581766">
        <w:t>McKee</w:t>
      </w:r>
      <w:r w:rsidR="00113461">
        <w:t xml:space="preserve"> </w:t>
      </w:r>
      <w:r w:rsidR="00113461">
        <w:rPr>
          <w:i/>
          <w:iCs/>
        </w:rPr>
        <w:t>et al.</w:t>
      </w:r>
      <w:r w:rsidR="00113461">
        <w:t>, 1993</w:t>
      </w:r>
      <w:r w:rsidR="00F96C78">
        <w:t xml:space="preserve">; </w:t>
      </w:r>
      <w:r w:rsidR="00931764">
        <w:t>Mishra</w:t>
      </w:r>
      <w:r w:rsidR="00113461">
        <w:t xml:space="preserve"> </w:t>
      </w:r>
      <w:r w:rsidR="00113461" w:rsidRPr="00113461">
        <w:rPr>
          <w:i/>
          <w:iCs/>
        </w:rPr>
        <w:t>et al.,</w:t>
      </w:r>
      <w:r w:rsidR="00931764">
        <w:t xml:space="preserve"> 2009</w:t>
      </w:r>
      <w:r w:rsidR="00F96C78">
        <w:t>)</w:t>
      </w:r>
      <w:r w:rsidR="00931764">
        <w:t>.</w:t>
      </w:r>
    </w:p>
    <w:p w14:paraId="16C34EB3" w14:textId="01577282" w:rsidR="00244D2C" w:rsidRDefault="00244D2C" w:rsidP="00E34491">
      <w:r>
        <w:tab/>
        <w:t>Os procedimentos para determinação do SRI, por sua vez, são semelhantes aos procedimentos supracitados para determinação do SPI, diferenciando-se apenas nos dados de entrada, pois utiliza dados de vazão ao invés de precipitação (Shukla e Wood, 2008)</w:t>
      </w:r>
      <w:r w:rsidR="00925E00">
        <w:t>.</w:t>
      </w:r>
    </w:p>
    <w:p w14:paraId="5BE91035" w14:textId="27B3465E" w:rsidR="00925E00" w:rsidRDefault="009D5247" w:rsidP="00E34491">
      <w:r>
        <w:lastRenderedPageBreak/>
        <w:tab/>
        <w:t>No presente trabalho, o SPI</w:t>
      </w:r>
      <w:r w:rsidR="00925E00">
        <w:t xml:space="preserve"> e o SRI</w:t>
      </w:r>
      <w:r>
        <w:t xml:space="preserve"> fo</w:t>
      </w:r>
      <w:r w:rsidR="00925E00">
        <w:t>ram</w:t>
      </w:r>
      <w:r>
        <w:t xml:space="preserve"> </w:t>
      </w:r>
      <w:r w:rsidR="00925E00">
        <w:t>determinados</w:t>
      </w:r>
      <w:r>
        <w:t xml:space="preserve"> para uma escala de 12 meses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n=12</m:t>
            </m:r>
          </m:e>
        </m:d>
      </m:oMath>
      <w:r>
        <w:t xml:space="preserve">. </w:t>
      </w:r>
      <w:r w:rsidR="00E6742F">
        <w:t>Após a determinação da série mensal de SPI-12 e SRI-12, o</w:t>
      </w:r>
      <w:r w:rsidR="00925E00">
        <w:t xml:space="preserve">ptou-se pela utilização </w:t>
      </w:r>
      <w:r w:rsidR="00511D33">
        <w:t>apenas</w:t>
      </w:r>
      <w:r w:rsidR="00E6742F">
        <w:t xml:space="preserve"> </w:t>
      </w:r>
      <w:r w:rsidR="00925E00">
        <w:t>do último mês de cada ano (dezembro)</w:t>
      </w:r>
      <w:r w:rsidR="00511D33">
        <w:t xml:space="preserve">, originando uma </w:t>
      </w:r>
      <w:r w:rsidR="00925E00">
        <w:t>série temporal anual desses índices</w:t>
      </w:r>
      <w:r w:rsidR="00511D33">
        <w:t xml:space="preserve">. </w:t>
      </w:r>
      <w:r w:rsidR="00925E00">
        <w:t>Como apontado por Estácio</w:t>
      </w:r>
      <w:r w:rsidR="00113461">
        <w:t xml:space="preserve"> </w:t>
      </w:r>
      <w:r w:rsidR="00113461">
        <w:rPr>
          <w:i/>
          <w:iCs/>
        </w:rPr>
        <w:t>et al.</w:t>
      </w:r>
      <w:r w:rsidR="00113461">
        <w:t xml:space="preserve"> </w:t>
      </w:r>
      <w:r w:rsidR="00925E00">
        <w:t>(2021), ao se utilizar a série mensal do SPI-12 e SRI-12, introduz-se uma dependência entre valores consecutivos da série, pois</w:t>
      </w:r>
      <w:r w:rsidR="00FE17F9">
        <w:t xml:space="preserve"> eles </w:t>
      </w:r>
      <w:r w:rsidR="00925E00">
        <w:t>iriam se diferenciar apenas em 1 dos 12 valores que são acumulados</w:t>
      </w:r>
      <w:r w:rsidR="00511D33">
        <w:t xml:space="preserve"> para determinação do índice nessa escala.</w:t>
      </w:r>
    </w:p>
    <w:p w14:paraId="31EABBF7" w14:textId="5E30B506" w:rsidR="009D5247" w:rsidRDefault="00925E00" w:rsidP="00E34491">
      <w:r>
        <w:tab/>
      </w:r>
      <w:r w:rsidR="00EA553D">
        <w:t xml:space="preserve">Baseado </w:t>
      </w:r>
      <w:r>
        <w:t>no gráfico quantil-quantil (Q-Q plot)</w:t>
      </w:r>
      <w:r w:rsidR="00EA553D">
        <w:t>, escolheu-se a FDA do tipo Gamma para ajuste das séries de precipitação</w:t>
      </w:r>
      <w:r>
        <w:t xml:space="preserve"> e vazão</w:t>
      </w:r>
      <w:r w:rsidR="00EA553D">
        <w:t xml:space="preserve"> observada</w:t>
      </w:r>
      <w:r>
        <w:t>s</w:t>
      </w:r>
      <w:r w:rsidR="00EA553D">
        <w:t xml:space="preserve"> e determinação de suas probabilidades de não excedências. </w:t>
      </w:r>
      <w:r w:rsidR="00E6742F">
        <w:t xml:space="preserve">A Figura 2 apresenta o Q-Q plot para </w:t>
      </w:r>
      <w:r w:rsidR="00175B19">
        <w:t>as séries de precipitação</w:t>
      </w:r>
      <w:r w:rsidR="004C665B">
        <w:t xml:space="preserve"> </w:t>
      </w:r>
      <w:r w:rsidR="00175B19">
        <w:t>e vazão agregadas em uma escala de 12 meses</w:t>
      </w:r>
      <w:r w:rsidR="004C665B">
        <w:t xml:space="preserve">, </w:t>
      </w:r>
      <w:r w:rsidR="004C665B">
        <w:t>as quais foram utilizadas para determinação dos índices SPI-12 e SRI-12</w:t>
      </w:r>
      <w:r w:rsidR="004C665B">
        <w:t>,</w:t>
      </w:r>
      <w:r w:rsidR="00CD5363">
        <w:t xml:space="preserve"> e os </w:t>
      </w:r>
      <w:r w:rsidR="004C665B">
        <w:t xml:space="preserve">seus </w:t>
      </w:r>
      <w:r w:rsidR="00CD5363">
        <w:t xml:space="preserve">respectivos coeficientes de determinação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="00175B19">
        <w:t>.</w:t>
      </w:r>
      <w:r w:rsidR="004C665B">
        <w:t xml:space="preserve"> Mais informações sobre a distribuição Gamma e sua Função de Densidade de Probabildiade (FDP) de uma variável aleatória contínua podem ser consultados em </w:t>
      </w:r>
      <w:r w:rsidR="004C665B">
        <w:t>Estácio, Silva e Souza Filho (2021)</w:t>
      </w:r>
      <w:r w:rsidR="004C665B">
        <w:t>.</w:t>
      </w:r>
    </w:p>
    <w:p w14:paraId="7CF8214B" w14:textId="35CC3FB8" w:rsidR="00CD5363" w:rsidRDefault="00CD5363" w:rsidP="00CD5363">
      <w:pPr>
        <w:pStyle w:val="Legenda"/>
        <w:keepNext/>
        <w:jc w:val="center"/>
      </w:pPr>
      <w:r>
        <w:t xml:space="preserve">Figura </w:t>
      </w:r>
      <w:r w:rsidR="00E56411">
        <w:fldChar w:fldCharType="begin"/>
      </w:r>
      <w:r w:rsidR="00E56411">
        <w:instrText xml:space="preserve"> SEQ Figura \* ARABIC </w:instrText>
      </w:r>
      <w:r w:rsidR="00E56411">
        <w:fldChar w:fldCharType="separate"/>
      </w:r>
      <w:r w:rsidR="00CF6AE6">
        <w:rPr>
          <w:noProof/>
        </w:rPr>
        <w:t>2</w:t>
      </w:r>
      <w:r w:rsidR="00E56411">
        <w:rPr>
          <w:noProof/>
        </w:rPr>
        <w:fldChar w:fldCharType="end"/>
      </w:r>
      <w:r>
        <w:t xml:space="preserve"> – </w:t>
      </w:r>
    </w:p>
    <w:p w14:paraId="39976E1B" w14:textId="35654386" w:rsidR="004C2375" w:rsidRDefault="00175B19" w:rsidP="004C665B">
      <w:pPr>
        <w:jc w:val="center"/>
      </w:pPr>
      <w:r>
        <w:rPr>
          <w:noProof/>
        </w:rPr>
        <w:drawing>
          <wp:inline distT="0" distB="0" distL="0" distR="0" wp14:anchorId="0B2C7E7F" wp14:editId="2CD32D4A">
            <wp:extent cx="2340487" cy="1620000"/>
            <wp:effectExtent l="0" t="0" r="317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48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D87FB" wp14:editId="7E0A455D">
            <wp:extent cx="2336689" cy="1620000"/>
            <wp:effectExtent l="0" t="0" r="698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689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314">
        <w:t xml:space="preserve"> </w:t>
      </w:r>
    </w:p>
    <w:p w14:paraId="036A5C6E" w14:textId="596A9C17" w:rsidR="005B71A8" w:rsidRPr="004C2375" w:rsidRDefault="005B71A8" w:rsidP="004C2375">
      <w:pPr>
        <w:rPr>
          <w:iCs/>
        </w:rPr>
      </w:pPr>
      <w:r>
        <w:tab/>
        <w:t xml:space="preserve">Em decorrência da não definição da distribuição Gamma para </w:t>
      </w:r>
      <m:oMath>
        <m:r>
          <w:rPr>
            <w:rFonts w:ascii="Cambria Math" w:hAnsi="Cambria Math"/>
          </w:rPr>
          <m:t>x=0</m:t>
        </m:r>
      </m:oMath>
      <w:r>
        <w:t>, deve-se proceder uma correção em sua FDA. Todavia, como apontado por Estácio, Silva e Souza Filho (2021), mesmo em regiões áridas, não se observa a ocorrência de valores nulos de precipitação ou vazão agregadas em uma escala de 12 meses, logo se torna dispensável tal correção na FDA.</w:t>
      </w:r>
    </w:p>
    <w:p w14:paraId="643980BD" w14:textId="100CAD1F" w:rsidR="00C600D2" w:rsidRDefault="00C600D2" w:rsidP="00760CF8">
      <w:pPr>
        <w:pStyle w:val="Ttulo2"/>
      </w:pPr>
      <w:r>
        <w:t>Cadeia de Markov</w:t>
      </w:r>
    </w:p>
    <w:p w14:paraId="515A272C" w14:textId="3FB5CD66" w:rsidR="00FE2362" w:rsidRDefault="00FE2362" w:rsidP="00FE2362">
      <w:r>
        <w:tab/>
      </w:r>
      <w:r w:rsidR="00113461">
        <w:t>Tomando</w:t>
      </w:r>
      <w:r w:rsidR="00117402">
        <w:t xml:space="preserve"> </w:t>
      </w:r>
      <w:r w:rsidR="00220F42">
        <w:t>uma sequência de variáveis aleatórias contidas em um vetor</w:t>
      </w:r>
      <w:r w:rsidR="00117402"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,⋯,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 w:rsidR="00220F42">
        <w:t xml:space="preserve"> que assumem valores de um vetor de estado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s</m:t>
            </m:r>
          </m:e>
        </m:acc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,⋯,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</m:oMath>
      <w:r w:rsidR="00117402">
        <w:t xml:space="preserve">, </w:t>
      </w:r>
      <w:r w:rsidR="00CE4221">
        <w:t>diz</w:t>
      </w:r>
      <w:r w:rsidR="00117402">
        <w:t xml:space="preserve"> que </w:t>
      </w:r>
      <w:r w:rsidR="00220F42">
        <w:t>essa sequência</w:t>
      </w:r>
      <w:r w:rsidR="00CE4221">
        <w:t xml:space="preserve">, para </w:t>
      </w:r>
      <m:oMath>
        <m:r>
          <w:rPr>
            <w:rFonts w:ascii="Cambria Math" w:hAnsi="Cambria Math"/>
          </w:rPr>
          <m:t>n≥0</m:t>
        </m:r>
      </m:oMath>
      <w:r w:rsidR="00CE4221">
        <w:t>,</w:t>
      </w:r>
      <w:r w:rsidR="00220F42">
        <w:t xml:space="preserve"> é uma cadeia de Markov se: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709" w:type="dxa"/>
          <w:right w:w="0" w:type="dxa"/>
        </w:tblCellMar>
        <w:tblLook w:val="04A0" w:firstRow="1" w:lastRow="0" w:firstColumn="1" w:lastColumn="0" w:noHBand="0" w:noVBand="1"/>
      </w:tblPr>
      <w:tblGrid>
        <w:gridCol w:w="7581"/>
        <w:gridCol w:w="989"/>
      </w:tblGrid>
      <w:tr w:rsidR="00220F42" w14:paraId="444AF947" w14:textId="77777777" w:rsidTr="00220F42">
        <w:tc>
          <w:tcPr>
            <w:tcW w:w="0" w:type="auto"/>
            <w:vAlign w:val="center"/>
          </w:tcPr>
          <w:p w14:paraId="5916419E" w14:textId="44E92BBC" w:rsidR="00220F42" w:rsidRPr="00220F42" w:rsidRDefault="00220F42" w:rsidP="00220F42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=j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,⋯,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</w:rPr>
                  <m:t>=P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=j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d>
              </m:oMath>
            </m:oMathPara>
          </w:p>
        </w:tc>
        <w:tc>
          <w:tcPr>
            <w:tcW w:w="0" w:type="auto"/>
            <w:vAlign w:val="center"/>
          </w:tcPr>
          <w:p w14:paraId="45E02DD4" w14:textId="70860A3F" w:rsidR="00220F42" w:rsidRDefault="00220F42" w:rsidP="00220F42">
            <w:pPr>
              <w:jc w:val="right"/>
            </w:pPr>
            <w:r>
              <w:t>(</w:t>
            </w:r>
            <w:r w:rsidR="004C665B">
              <w:t>1</w:t>
            </w:r>
            <w:r>
              <w:t>)</w:t>
            </w:r>
          </w:p>
        </w:tc>
      </w:tr>
    </w:tbl>
    <w:p w14:paraId="43641BE0" w14:textId="0C1305BA" w:rsidR="00D8036E" w:rsidRDefault="00B90366" w:rsidP="00FE2362">
      <w:r>
        <w:tab/>
        <w:t xml:space="preserve">A Equação </w:t>
      </w:r>
      <w:r w:rsidR="004C665B">
        <w:t>1</w:t>
      </w:r>
      <w:r>
        <w:t xml:space="preserve"> expressa a propriedade de Markov, na qual se define que apenas o estado atual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é necessário para predizer o estado futuro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>
        <w:t xml:space="preserve">. </w:t>
      </w:r>
      <w:r w:rsidR="00CE4221">
        <w:t>Em outras palavras</w:t>
      </w:r>
      <w:r>
        <w:t xml:space="preserve">, </w:t>
      </w:r>
      <w:r w:rsidR="002A114F">
        <w:t xml:space="preserve">essa propriedade </w:t>
      </w:r>
      <w:r>
        <w:t xml:space="preserve">estabelece uma independência condicional entre passado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t-2</m:t>
                </m:r>
              </m:sub>
            </m:sSub>
            <m:r>
              <w:rPr>
                <w:rFonts w:ascii="Cambria Math" w:hAnsi="Cambria Math"/>
              </w:rPr>
              <m:t>,⋯,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 xml:space="preserve"> e futuro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 w:rsidR="00CE4221">
        <w:t>, definindo uma dependência condicional</w:t>
      </w:r>
      <w:r w:rsidR="00113461">
        <w:t xml:space="preserve"> </w:t>
      </w:r>
      <w:r w:rsidR="00CE4221">
        <w:t xml:space="preserve">desse último apenas com o estado atual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 w:rsidR="00113461">
        <w:t xml:space="preserve">, ou seja, uma dependência de um passo </w:t>
      </w:r>
      <w:r w:rsidR="00CE4221">
        <w:t>(</w:t>
      </w:r>
      <w:r w:rsidR="00113461" w:rsidRPr="00CE4221">
        <w:t>Blitzstein</w:t>
      </w:r>
      <w:r w:rsidR="00113461">
        <w:t xml:space="preserve"> e</w:t>
      </w:r>
      <w:r w:rsidR="00113461" w:rsidRPr="00CE4221">
        <w:t xml:space="preserve"> Hwang</w:t>
      </w:r>
      <w:r w:rsidR="00CE4221">
        <w:t>, 2015</w:t>
      </w:r>
      <w:r w:rsidR="00636406">
        <w:t>; Mishra</w:t>
      </w:r>
      <w:r w:rsidR="00113461">
        <w:t xml:space="preserve"> </w:t>
      </w:r>
      <w:r w:rsidR="00113461" w:rsidRPr="00113461">
        <w:rPr>
          <w:i/>
          <w:iCs/>
        </w:rPr>
        <w:t>et al</w:t>
      </w:r>
      <w:r w:rsidR="00113461">
        <w:t>.</w:t>
      </w:r>
      <w:r w:rsidR="00636406">
        <w:t>, 2009</w:t>
      </w:r>
      <w:r w:rsidR="000D0271">
        <w:t>; Estácio</w:t>
      </w:r>
      <w:r w:rsidR="00113461">
        <w:t xml:space="preserve"> </w:t>
      </w:r>
      <w:r w:rsidR="00113461" w:rsidRPr="00113461">
        <w:rPr>
          <w:i/>
          <w:iCs/>
        </w:rPr>
        <w:t>et al</w:t>
      </w:r>
      <w:r w:rsidR="00113461">
        <w:t>.</w:t>
      </w:r>
      <w:r w:rsidR="000D0271">
        <w:t>, 2021</w:t>
      </w:r>
      <w:r w:rsidR="00CE4221">
        <w:t>).</w:t>
      </w:r>
    </w:p>
    <w:p w14:paraId="25585E98" w14:textId="42996B5D" w:rsidR="00D8036E" w:rsidRPr="00FE2362" w:rsidRDefault="00CE4221" w:rsidP="00FE2362">
      <w:r>
        <w:tab/>
      </w:r>
      <w:r w:rsidR="00BF5BF7">
        <w:t xml:space="preserve">O comportamento da cadeia de Markov é descrito </w:t>
      </w:r>
      <w:r w:rsidR="00610FB5">
        <w:t xml:space="preserve">pelas probabilidades dos estados contidos no vetor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s</m:t>
            </m:r>
          </m:e>
        </m:acc>
      </m:oMath>
      <w:r w:rsidR="00610FB5">
        <w:t xml:space="preserve"> se moverem para qualquer um dos outros estados contidos nesse mesmo vetor, incluindo a permanência no estado inicial. </w:t>
      </w:r>
      <w:r w:rsidR="00D8036E">
        <w:t xml:space="preserve">As probabilidades de transição para um estado </w:t>
      </w:r>
      <m:oMath>
        <m:r>
          <w:rPr>
            <w:rFonts w:ascii="Cambria Math" w:hAnsi="Cambria Math"/>
          </w:rPr>
          <m:t>j</m:t>
        </m:r>
      </m:oMath>
      <w:r w:rsidR="00D8036E">
        <w:t xml:space="preserve"> dada a ocorrência do estado </w:t>
      </w:r>
      <m:oMath>
        <m:r>
          <w:rPr>
            <w:rFonts w:ascii="Cambria Math" w:hAnsi="Cambria Math"/>
          </w:rPr>
          <m:t>i</m:t>
        </m:r>
      </m:oMath>
      <w:r w:rsidR="00D8036E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D8036E">
        <w:t xml:space="preserve"> podem ser ordenadas em um formato matricial, dando origem a matriz de transição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M</m:t>
                </m:r>
              </m:e>
            </m:acc>
          </m:e>
        </m:d>
      </m:oMath>
      <w:r w:rsidR="00D8036E">
        <w:t xml:space="preserve">. Dado que o vetor de estado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s</m:t>
            </m:r>
          </m:e>
        </m:acc>
      </m:oMath>
      <w:r w:rsidR="00D8036E">
        <w:t xml:space="preserve"> possui dimensão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1×k</m:t>
            </m:r>
          </m:e>
        </m:d>
      </m:oMath>
      <w:r w:rsidR="00D8036E">
        <w:t xml:space="preserve"> a matriz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</m:oMath>
      <w:r w:rsidR="00D8036E">
        <w:t xml:space="preserve"> será uma matriz quadrada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k×k</m:t>
            </m:r>
          </m:e>
        </m:d>
      </m:oMath>
      <w:r w:rsidR="008B1D90">
        <w:t xml:space="preserve">, como apresentado na Equação </w:t>
      </w:r>
      <w:r w:rsidR="004C665B">
        <w:t>2</w:t>
      </w:r>
      <w:r w:rsidR="008B1D90">
        <w:t>.</w:t>
      </w: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709" w:type="dxa"/>
          <w:right w:w="851" w:type="dxa"/>
        </w:tblCellMar>
        <w:tblLook w:val="04A0" w:firstRow="1" w:lastRow="0" w:firstColumn="1" w:lastColumn="0" w:noHBand="0" w:noVBand="1"/>
      </w:tblPr>
      <w:tblGrid>
        <w:gridCol w:w="6948"/>
        <w:gridCol w:w="2691"/>
      </w:tblGrid>
      <w:tr w:rsidR="00D8036E" w14:paraId="6986D247" w14:textId="77777777" w:rsidTr="006C63ED">
        <w:tc>
          <w:tcPr>
            <w:tcW w:w="3604" w:type="pct"/>
            <w:vAlign w:val="center"/>
          </w:tcPr>
          <w:p w14:paraId="4A31B2C0" w14:textId="305AFF81" w:rsidR="00D8036E" w:rsidRPr="00390674" w:rsidRDefault="00E56411" w:rsidP="00DB1AF3">
            <w:pPr>
              <w:jc w:val="left"/>
            </w:pPr>
            <m:oMathPara>
              <m:oMathParaPr>
                <m:jc m:val="left"/>
              </m:oMathParaPr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ij</m:t>
                            </m:r>
                          </m:sub>
                        </m:sSub>
                      </m:e>
                    </m:d>
                  </m:e>
                  <m: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k×k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11</m:t>
                                    </m:r>
                                  </m:sub>
                                </m:sSub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12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1k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21</m:t>
                                    </m:r>
                                  </m:sub>
                                </m:sSub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22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⋯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2k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⋮</m:t>
                                      </m:r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k1</m:t>
                                          </m:r>
                                        </m:sub>
                                      </m:sSub>
                                    </m:e>
                                  </m:mr>
                                </m:m>
                              </m:e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⋮</m:t>
                                      </m:r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k2</m:t>
                                          </m:r>
                                        </m:sub>
                                      </m:sSub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⋯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kk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396" w:type="pct"/>
            <w:vAlign w:val="center"/>
          </w:tcPr>
          <w:p w14:paraId="6FA35F2A" w14:textId="50693C76" w:rsidR="00D8036E" w:rsidRDefault="00D8036E" w:rsidP="00DB1AF3">
            <w:pPr>
              <w:jc w:val="right"/>
            </w:pPr>
            <w:r>
              <w:t>(</w:t>
            </w:r>
            <w:r w:rsidR="004C665B">
              <w:t>2</w:t>
            </w:r>
            <w:r>
              <w:t>)</w:t>
            </w:r>
          </w:p>
        </w:tc>
      </w:tr>
    </w:tbl>
    <w:p w14:paraId="0D9774EA" w14:textId="166C8925" w:rsidR="00CE4221" w:rsidRDefault="006C63ED" w:rsidP="00FE2362">
      <w:r>
        <w:tab/>
        <w:t>A matriz</w:t>
      </w:r>
      <w:r w:rsidR="000D0271">
        <w:t xml:space="preserve"> de transição</w:t>
      </w:r>
      <w:r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</m:oMath>
      <w:r>
        <w:t xml:space="preserve"> deve ser quadrada, com valor</w:t>
      </w:r>
      <w:r w:rsidR="000D0271">
        <w:t>es</w:t>
      </w:r>
      <w:r>
        <w:t xml:space="preserve">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 xml:space="preserve"> não negativos e </w:t>
      </w:r>
      <w:r w:rsidR="000D0271">
        <w:t xml:space="preserve">a </w:t>
      </w:r>
      <w:r>
        <w:t>soma dos valores de cada linha igual a 1</w:t>
      </w:r>
      <w:r w:rsidR="000D0271">
        <w:t xml:space="preserve">. Os valores de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</m:oMath>
      <w:r w:rsidR="000D0271">
        <w:t xml:space="preserve"> podem ser individualmente </w:t>
      </w:r>
      <w:r w:rsidR="00AC7011">
        <w:t xml:space="preserve">calculados com base nas transições ocorridas ao longo dos dados observados, como apresentado na Equação </w:t>
      </w:r>
      <w:r w:rsidR="004C665B">
        <w:t>3</w:t>
      </w:r>
      <w:r w:rsidR="00AC7011">
        <w:t>.</w:t>
      </w: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709" w:type="dxa"/>
          <w:right w:w="851" w:type="dxa"/>
        </w:tblCellMar>
        <w:tblLook w:val="04A0" w:firstRow="1" w:lastRow="0" w:firstColumn="1" w:lastColumn="0" w:noHBand="0" w:noVBand="1"/>
      </w:tblPr>
      <w:tblGrid>
        <w:gridCol w:w="6948"/>
        <w:gridCol w:w="2691"/>
      </w:tblGrid>
      <w:tr w:rsidR="00AC7011" w14:paraId="1E97021D" w14:textId="77777777" w:rsidTr="00AC7011">
        <w:tc>
          <w:tcPr>
            <w:tcW w:w="3604" w:type="pct"/>
            <w:vAlign w:val="center"/>
          </w:tcPr>
          <w:p w14:paraId="55AFFECB" w14:textId="62A43A2E" w:rsidR="00AC7011" w:rsidRPr="00390674" w:rsidRDefault="00E56411" w:rsidP="00DB1AF3">
            <w:pPr>
              <w:jc w:val="left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  <m:r>
                  <w:rPr>
                    <w:rFonts w:ascii="Cambria Math" w:hAnsi="Cambria Math"/>
                  </w:rPr>
                  <m:t>=P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=j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=i 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ij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ij</m:t>
                            </m:r>
                          </m:sub>
                        </m:sSub>
                      </m:e>
                    </m:nary>
                  </m:den>
                </m:f>
              </m:oMath>
            </m:oMathPara>
          </w:p>
        </w:tc>
        <w:tc>
          <w:tcPr>
            <w:tcW w:w="1396" w:type="pct"/>
            <w:vAlign w:val="center"/>
          </w:tcPr>
          <w:p w14:paraId="5BCE90D4" w14:textId="1824EE46" w:rsidR="00AC7011" w:rsidRDefault="00AC7011" w:rsidP="00DB1AF3">
            <w:pPr>
              <w:jc w:val="right"/>
            </w:pPr>
            <w:r>
              <w:t>(</w:t>
            </w:r>
            <w:r w:rsidR="004C665B">
              <w:t>3</w:t>
            </w:r>
            <w:r>
              <w:t>)</w:t>
            </w:r>
          </w:p>
        </w:tc>
      </w:tr>
    </w:tbl>
    <w:p w14:paraId="7EA687AD" w14:textId="375A0254" w:rsidR="00AC7011" w:rsidRDefault="00AC7011" w:rsidP="00FE2362">
      <w:r>
        <w:tab/>
        <w:t xml:space="preserve">onde: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 xml:space="preserve"> é o número de transições que ocorrem para o estado </w:t>
      </w:r>
      <m:oMath>
        <m:r>
          <w:rPr>
            <w:rFonts w:ascii="Cambria Math" w:hAnsi="Cambria Math"/>
          </w:rPr>
          <m:t>j</m:t>
        </m:r>
      </m:oMath>
      <w:r>
        <w:t xml:space="preserve"> em </w:t>
      </w:r>
      <m:oMath>
        <m:r>
          <w:rPr>
            <w:rFonts w:ascii="Cambria Math" w:hAnsi="Cambria Math"/>
          </w:rPr>
          <m:t>t+1</m:t>
        </m:r>
      </m:oMath>
      <w:r>
        <w:t xml:space="preserve">, dada a ocorrência do estado </w:t>
      </w:r>
      <m:oMath>
        <m:r>
          <w:rPr>
            <w:rFonts w:ascii="Cambria Math" w:hAnsi="Cambria Math"/>
          </w:rPr>
          <m:t>i</m:t>
        </m:r>
      </m:oMath>
      <w:r>
        <w:t xml:space="preserve"> em </w:t>
      </w:r>
      <m:oMath>
        <m:r>
          <w:rPr>
            <w:rFonts w:ascii="Cambria Math" w:hAnsi="Cambria Math"/>
          </w:rPr>
          <m:t>t</m:t>
        </m:r>
      </m:oMath>
      <w:r>
        <w:t xml:space="preserve">; </w:t>
      </w: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nary>
      </m:oMath>
      <w:r>
        <w:t xml:space="preserve"> representa o número de ocorrências do estado </w:t>
      </w:r>
      <m:oMath>
        <m:r>
          <w:rPr>
            <w:rFonts w:ascii="Cambria Math" w:hAnsi="Cambria Math"/>
          </w:rPr>
          <m:t>i</m:t>
        </m:r>
      </m:oMath>
      <w:r>
        <w:t>, independente da transição ocorrida (</w:t>
      </w:r>
      <w:r w:rsidR="00113461" w:rsidRPr="00CE4221">
        <w:t>Blitzstein</w:t>
      </w:r>
      <w:r w:rsidR="00113461">
        <w:t xml:space="preserve"> e</w:t>
      </w:r>
      <w:r w:rsidR="00113461" w:rsidRPr="00CE4221">
        <w:t xml:space="preserve"> Hwang</w:t>
      </w:r>
      <w:r w:rsidR="00113461">
        <w:t xml:space="preserve">, 2015; Mishra </w:t>
      </w:r>
      <w:r w:rsidR="00113461">
        <w:rPr>
          <w:i/>
          <w:iCs/>
        </w:rPr>
        <w:t>et al.</w:t>
      </w:r>
      <w:r w:rsidR="00113461">
        <w:t xml:space="preserve">, 2009; Estácio </w:t>
      </w:r>
      <w:r w:rsidR="00113461">
        <w:rPr>
          <w:i/>
          <w:iCs/>
        </w:rPr>
        <w:t>et al.,</w:t>
      </w:r>
      <w:r w:rsidR="00113461">
        <w:t xml:space="preserve"> 2021</w:t>
      </w:r>
      <w:r>
        <w:t>).</w:t>
      </w:r>
    </w:p>
    <w:p w14:paraId="03D4276D" w14:textId="2D5170E3" w:rsidR="00AC7011" w:rsidRDefault="00AC7011" w:rsidP="00FE2362">
      <w:r>
        <w:tab/>
      </w:r>
      <w:r w:rsidR="00B5774C">
        <w:t xml:space="preserve">Outra </w:t>
      </w:r>
      <w:r w:rsidR="004245A1">
        <w:t>importante definição para a cadeia de Markov</w:t>
      </w:r>
      <w:r w:rsidR="00B5774C">
        <w:t xml:space="preserve"> é a de distribuição</w:t>
      </w:r>
      <w:r w:rsidR="005E7F52">
        <w:t xml:space="preserve"> estacionária de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4245A1">
        <w:t xml:space="preserve">. Dado um vetor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q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,⋯,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</m:oMath>
      <w:r w:rsidR="004245A1">
        <w:t xml:space="preserve">, com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=i</m:t>
            </m:r>
          </m:e>
        </m:d>
      </m:oMath>
      <w:r w:rsidR="004245A1">
        <w:t xml:space="preserve">, representando as probabilidades dos </w:t>
      </w:r>
      <m:oMath>
        <m:r>
          <w:rPr>
            <w:rFonts w:ascii="Cambria Math" w:hAnsi="Cambria Math"/>
          </w:rPr>
          <m:t>k</m:t>
        </m:r>
      </m:oMath>
      <w:r w:rsidR="004245A1">
        <w:t xml:space="preserve"> estados possíveis de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s</m:t>
            </m:r>
          </m:e>
        </m:acc>
        <m:r>
          <w:rPr>
            <w:rFonts w:ascii="Cambria Math" w:hAnsi="Cambria Math"/>
          </w:rPr>
          <m:t xml:space="preserve"> </m:t>
        </m:r>
      </m:oMath>
      <w:r w:rsidR="00593AF6">
        <w:t xml:space="preserve"> ocorrerem no passo 0 da cadeia</w:t>
      </w:r>
      <w:r w:rsidR="005E7F52">
        <w:t xml:space="preserve">, diz-se que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q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5E7F52">
        <w:t xml:space="preserve"> é a distribuição marginal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593AF6">
        <w:t xml:space="preserve">. Para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93AF6">
        <w:t xml:space="preserve">, sua distribuição marginal é dada pela multiplicação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q</m:t>
                </m:r>
              </m:e>
            </m:acc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593AF6">
        <w:t xml:space="preserve"> pela matriz de transição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</m:oMath>
      <w:r w:rsidR="00593AF6">
        <w:t xml:space="preserve">. Essa lógica é mantida para os demais passos das cadeias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,⋯,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</m:d>
      </m:oMath>
      <w:r w:rsidR="00593AF6">
        <w:t xml:space="preserve">, como apresentado na Equação </w:t>
      </w:r>
      <w:r w:rsidR="004C665B">
        <w:t>4</w:t>
      </w:r>
      <w:r w:rsidR="00593AF6">
        <w:t>.</w:t>
      </w: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709" w:type="dxa"/>
          <w:right w:w="851" w:type="dxa"/>
        </w:tblCellMar>
        <w:tblLook w:val="04A0" w:firstRow="1" w:lastRow="0" w:firstColumn="1" w:lastColumn="0" w:noHBand="0" w:noVBand="1"/>
      </w:tblPr>
      <w:tblGrid>
        <w:gridCol w:w="7516"/>
        <w:gridCol w:w="2123"/>
      </w:tblGrid>
      <w:tr w:rsidR="00A65AE6" w14:paraId="211F0339" w14:textId="77777777" w:rsidTr="005B0F6A">
        <w:tc>
          <w:tcPr>
            <w:tcW w:w="3899" w:type="pct"/>
            <w:vAlign w:val="center"/>
          </w:tcPr>
          <w:p w14:paraId="44C7B888" w14:textId="4564388A" w:rsidR="00593AF6" w:rsidRPr="00390674" w:rsidRDefault="00E56411" w:rsidP="00DB1AF3">
            <w:pPr>
              <w:jc w:val="left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;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; ⋯;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d</m:t>
                    </m:r>
                  </m:sup>
                </m:sSup>
              </m:oMath>
            </m:oMathPara>
          </w:p>
        </w:tc>
        <w:tc>
          <w:tcPr>
            <w:tcW w:w="1101" w:type="pct"/>
            <w:vAlign w:val="center"/>
          </w:tcPr>
          <w:p w14:paraId="3CFF16EB" w14:textId="332769DB" w:rsidR="00593AF6" w:rsidRDefault="00593AF6" w:rsidP="00DB1AF3">
            <w:pPr>
              <w:jc w:val="right"/>
            </w:pPr>
            <w:r>
              <w:t>(</w:t>
            </w:r>
            <w:r w:rsidR="004C665B">
              <w:t>4</w:t>
            </w:r>
            <w:r>
              <w:t>)</w:t>
            </w:r>
          </w:p>
        </w:tc>
      </w:tr>
    </w:tbl>
    <w:p w14:paraId="70088EAA" w14:textId="5A77B724" w:rsidR="004245A1" w:rsidRDefault="00D76ABB" w:rsidP="00FE2362">
      <w:r>
        <w:tab/>
        <w:t>Ao se simular</w:t>
      </w:r>
      <w:r w:rsidR="005B0F6A">
        <w:t xml:space="preserve"> a cadeia </w:t>
      </w:r>
      <w:r>
        <w:t>por passos suficientes, atinge-se uma convergência das distribuições marginais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  <m: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d+1</m:t>
                </m:r>
              </m:sub>
            </m:sSub>
            <m: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d+2</m:t>
                </m:r>
              </m:sub>
            </m:sSub>
          </m:e>
        </m:d>
      </m:oMath>
      <w:r>
        <w:t xml:space="preserve">, </w:t>
      </w:r>
      <w:r w:rsidR="005B0F6A">
        <w:t xml:space="preserve">obtendo-se a distribuição estacionária de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5B0F6A">
        <w:t xml:space="preserve"> que satisfaz a expressão apresentada na Equação </w:t>
      </w:r>
      <w:r w:rsidR="004C665B">
        <w:t>5</w:t>
      </w:r>
      <w:r w:rsidR="005B0F6A">
        <w:t>.</w:t>
      </w: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709" w:type="dxa"/>
          <w:right w:w="851" w:type="dxa"/>
        </w:tblCellMar>
        <w:tblLook w:val="04A0" w:firstRow="1" w:lastRow="0" w:firstColumn="1" w:lastColumn="0" w:noHBand="0" w:noVBand="1"/>
      </w:tblPr>
      <w:tblGrid>
        <w:gridCol w:w="7516"/>
        <w:gridCol w:w="2123"/>
      </w:tblGrid>
      <w:tr w:rsidR="005B0F6A" w14:paraId="3BA67F70" w14:textId="77777777" w:rsidTr="005B0F6A">
        <w:tc>
          <w:tcPr>
            <w:tcW w:w="3899" w:type="pct"/>
            <w:vAlign w:val="center"/>
          </w:tcPr>
          <w:p w14:paraId="716A9C63" w14:textId="57F8797C" w:rsidR="005B0F6A" w:rsidRPr="00390674" w:rsidRDefault="00E56411" w:rsidP="00DB1AF3">
            <w:pPr>
              <w:jc w:val="left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d+1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acc>
              </m:oMath>
            </m:oMathPara>
          </w:p>
        </w:tc>
        <w:tc>
          <w:tcPr>
            <w:tcW w:w="1101" w:type="pct"/>
            <w:vAlign w:val="center"/>
          </w:tcPr>
          <w:p w14:paraId="21FE80F8" w14:textId="1AD8EA21" w:rsidR="005B0F6A" w:rsidRDefault="005B0F6A" w:rsidP="00DB1AF3">
            <w:pPr>
              <w:jc w:val="right"/>
            </w:pPr>
            <w:r>
              <w:t>(</w:t>
            </w:r>
            <w:r w:rsidR="004C665B">
              <w:t>5</w:t>
            </w:r>
            <w:r>
              <w:t>)</w:t>
            </w:r>
          </w:p>
        </w:tc>
      </w:tr>
    </w:tbl>
    <w:p w14:paraId="64EEE1DF" w14:textId="0C05B196" w:rsidR="004245A1" w:rsidRDefault="002B4E15" w:rsidP="002B4E15">
      <w:pPr>
        <w:pStyle w:val="Ttulo2"/>
      </w:pPr>
      <w:r>
        <w:t>Transições dos estados de seca</w:t>
      </w:r>
    </w:p>
    <w:p w14:paraId="0358F02F" w14:textId="054EEB97" w:rsidR="00883CD0" w:rsidRDefault="002B4E15" w:rsidP="002B4E15">
      <w:r>
        <w:tab/>
        <w:t xml:space="preserve">A análise das transições dos estados de seca </w:t>
      </w:r>
      <w:r w:rsidR="00883CD0">
        <w:t>objetivou avaliar os possíveis impactos das modificações antrópicas promovidas na bacia hidrográfica nas transições desses estados e nas suas probabilidades de ocorrência. Inicialmente, dividiu-se o período total da série temporal em duas janelas: o período P1, remetendo à</w:t>
      </w:r>
      <w:r w:rsidR="00FA771D">
        <w:t>s</w:t>
      </w:r>
      <w:r w:rsidR="00883CD0">
        <w:t xml:space="preserve"> condições mais naturais da bacia e o período P2, remetendo à</w:t>
      </w:r>
      <w:r w:rsidR="00FA771D">
        <w:t>s</w:t>
      </w:r>
      <w:r w:rsidR="00883CD0">
        <w:t xml:space="preserve"> condições modificadas da bacia.</w:t>
      </w:r>
    </w:p>
    <w:p w14:paraId="640FFAA4" w14:textId="33457E09" w:rsidR="00E573E4" w:rsidRDefault="00883CD0" w:rsidP="002B4E15">
      <w:r>
        <w:tab/>
      </w:r>
      <w:r w:rsidR="00FA771D">
        <w:t>De acordo com EMBRAPA (2011), a produção de soja no Oeste da Bahia começou apresentar uma forte tendência de crescimento a partir de 1985, aumentando rapidamente seu percentual de participação na produção de soja brasileira entre 1985 e 1995, cerca de +3,00%. Em 2006 já representava 4,50% da produção de soja brasileira.</w:t>
      </w:r>
      <w:r>
        <w:t xml:space="preserve"> </w:t>
      </w:r>
      <w:r w:rsidR="00E573E4">
        <w:t>Baseado nas informações supracitadas, o período P1 abrangeu os anos de 1935 até 1984 (49 anos) e o período P2 os anos de 1985 até 2020 (35 anos). Após essa definição, dividiu-se a série anual de SPI-12 e SRI-12 dentro de cada um dos períodos supracitados.</w:t>
      </w:r>
    </w:p>
    <w:p w14:paraId="2C32D34F" w14:textId="61D84FC2" w:rsidR="00434AD0" w:rsidRDefault="00E573E4" w:rsidP="002B4E15">
      <w:r>
        <w:tab/>
      </w:r>
      <w:r w:rsidRPr="00E573E4">
        <w:rPr>
          <w:highlight w:val="yellow"/>
        </w:rPr>
        <w:t>Para determinação das transições entre os estados das secas meteorológicas e hidrológicas, considerou-se que elas representavam um processo Markoviano</w:t>
      </w:r>
      <w:r>
        <w:t xml:space="preserve">. </w:t>
      </w:r>
      <w:r w:rsidR="008E2CEB">
        <w:t>Determinou-se</w:t>
      </w:r>
      <w:r>
        <w:t xml:space="preserve"> as matrizes de transições para o SPI-12 e SRI-12 nos períodos P1 e P2. </w:t>
      </w:r>
      <w:r w:rsidR="00434AD0">
        <w:t xml:space="preserve">Para isso, transformou-se os valores contínuos do SPI-12 e SRI-12 </w:t>
      </w:r>
      <w:r w:rsidR="00CC72AD">
        <w:t>de</w:t>
      </w:r>
      <w:r w:rsidR="00434AD0">
        <w:t xml:space="preserve"> ambos os períodos em classes de seca, adotando a classificação apresenta</w:t>
      </w:r>
      <w:r w:rsidR="00CC72AD">
        <w:t>da</w:t>
      </w:r>
      <w:r w:rsidR="00434AD0">
        <w:t xml:space="preserve"> por </w:t>
      </w:r>
      <w:r w:rsidR="00434AD0" w:rsidRPr="00581766">
        <w:t>McKee</w:t>
      </w:r>
      <w:r w:rsidR="00434AD0">
        <w:t xml:space="preserve"> </w:t>
      </w:r>
      <w:r w:rsidR="00434AD0">
        <w:rPr>
          <w:i/>
          <w:iCs/>
        </w:rPr>
        <w:t>et al.</w:t>
      </w:r>
      <w:r w:rsidR="00434AD0">
        <w:t xml:space="preserve"> (1993) com algumas modificações, como apresentado na Tabela 1.</w:t>
      </w:r>
    </w:p>
    <w:p w14:paraId="20F61A05" w14:textId="3339CC69" w:rsidR="002B4E15" w:rsidRDefault="00434AD0" w:rsidP="002B4E15">
      <w:r>
        <w:tab/>
        <w:t xml:space="preserve">Feita a transformação dos valores contínuos do SPI-12 e SRI-12 no período P1 e P2 em classes de seca, determinou-se as matrizes de transição com base na Equação </w:t>
      </w:r>
      <w:r w:rsidR="004C665B">
        <w:t>3</w:t>
      </w:r>
      <w:r>
        <w:t xml:space="preserve">. Ao todo, quatro matrizes de transição foram determinadas: i) SPI-12 no período P1, ii) SPI-12 no período P2, iii) SRI-12 no </w:t>
      </w:r>
      <w:r>
        <w:lastRenderedPageBreak/>
        <w:t>período P1 e iv) SRI-12 no período P2.</w:t>
      </w:r>
      <w:r w:rsidR="00CC72AD">
        <w:t xml:space="preserve"> </w:t>
      </w:r>
      <w:r>
        <w:t xml:space="preserve">De posse dessas quatro matrizes de transição, </w:t>
      </w:r>
      <w:r w:rsidR="00CC72AD">
        <w:t xml:space="preserve">adotou-se os procedimentos apresentados nas Equações </w:t>
      </w:r>
      <w:r w:rsidR="004C665B">
        <w:t>4</w:t>
      </w:r>
      <w:r w:rsidR="00CC72AD">
        <w:t xml:space="preserve"> e </w:t>
      </w:r>
      <w:r w:rsidR="004C665B">
        <w:t>5</w:t>
      </w:r>
      <w:r w:rsidR="00CC72AD">
        <w:t xml:space="preserve"> para determinação das distribuições estacionárias dessas quatro cadeias de Markov</w:t>
      </w:r>
      <w:r w:rsidR="008E2CEB">
        <w:t>.</w:t>
      </w:r>
    </w:p>
    <w:p w14:paraId="4B79192A" w14:textId="77777777" w:rsidR="004C665B" w:rsidRDefault="004C665B" w:rsidP="004C665B">
      <w:pPr>
        <w:pStyle w:val="Legenda"/>
        <w:keepNext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–</w:t>
      </w:r>
    </w:p>
    <w:tbl>
      <w:tblPr>
        <w:tblStyle w:val="Tabelacomgrade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4C665B" w14:paraId="20A0D67F" w14:textId="77777777" w:rsidTr="002C5E95">
        <w:tc>
          <w:tcPr>
            <w:tcW w:w="3209" w:type="dxa"/>
            <w:vAlign w:val="center"/>
          </w:tcPr>
          <w:p w14:paraId="7FC74C13" w14:textId="77777777" w:rsidR="004C665B" w:rsidRDefault="004C665B" w:rsidP="002C5E95">
            <w:pPr>
              <w:jc w:val="center"/>
            </w:pPr>
            <w:r>
              <w:t>Valor do Índice</w:t>
            </w:r>
          </w:p>
        </w:tc>
        <w:tc>
          <w:tcPr>
            <w:tcW w:w="3210" w:type="dxa"/>
            <w:vAlign w:val="center"/>
          </w:tcPr>
          <w:p w14:paraId="1BBE83B8" w14:textId="77777777" w:rsidR="004C665B" w:rsidRDefault="004C665B" w:rsidP="002C5E95">
            <w:pPr>
              <w:jc w:val="center"/>
            </w:pPr>
            <w:r w:rsidRPr="00581766">
              <w:t>McKee</w:t>
            </w:r>
            <w:r>
              <w:t xml:space="preserve"> </w:t>
            </w:r>
            <w:r>
              <w:rPr>
                <w:i/>
                <w:iCs/>
              </w:rPr>
              <w:t>et al.</w:t>
            </w:r>
            <w:r>
              <w:t xml:space="preserve"> (1993)</w:t>
            </w:r>
          </w:p>
        </w:tc>
        <w:tc>
          <w:tcPr>
            <w:tcW w:w="3210" w:type="dxa"/>
            <w:vAlign w:val="center"/>
          </w:tcPr>
          <w:p w14:paraId="76CFE569" w14:textId="77777777" w:rsidR="004C665B" w:rsidRDefault="004C665B" w:rsidP="002C5E95">
            <w:pPr>
              <w:jc w:val="center"/>
            </w:pPr>
            <w:r>
              <w:t>Classes adotadas neste trabalho</w:t>
            </w:r>
          </w:p>
        </w:tc>
      </w:tr>
      <w:tr w:rsidR="004C665B" w14:paraId="53CCEC38" w14:textId="77777777" w:rsidTr="002C5E95">
        <w:tc>
          <w:tcPr>
            <w:tcW w:w="3209" w:type="dxa"/>
            <w:vAlign w:val="center"/>
          </w:tcPr>
          <w:p w14:paraId="55518899" w14:textId="77777777" w:rsidR="004C665B" w:rsidRDefault="004C665B" w:rsidP="002C5E95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SPI|SRI ≥0</m:t>
                </m:r>
              </m:oMath>
            </m:oMathPara>
          </w:p>
        </w:tc>
        <w:tc>
          <w:tcPr>
            <w:tcW w:w="3210" w:type="dxa"/>
            <w:vAlign w:val="center"/>
          </w:tcPr>
          <w:p w14:paraId="33F233D8" w14:textId="77777777" w:rsidR="004C665B" w:rsidRDefault="004C665B" w:rsidP="002C5E95">
            <w:pPr>
              <w:jc w:val="center"/>
            </w:pPr>
            <w:r>
              <w:t>Sem classe</w:t>
            </w:r>
          </w:p>
        </w:tc>
        <w:tc>
          <w:tcPr>
            <w:tcW w:w="3210" w:type="dxa"/>
            <w:vAlign w:val="center"/>
          </w:tcPr>
          <w:p w14:paraId="6DBBAC46" w14:textId="77777777" w:rsidR="004C665B" w:rsidRDefault="004C665B" w:rsidP="002C5E95">
            <w:pPr>
              <w:jc w:val="center"/>
            </w:pPr>
            <w:r>
              <w:t>Sem Seca (SS)</w:t>
            </w:r>
          </w:p>
        </w:tc>
      </w:tr>
      <w:tr w:rsidR="004C665B" w14:paraId="15EB72A6" w14:textId="77777777" w:rsidTr="002C5E95">
        <w:tc>
          <w:tcPr>
            <w:tcW w:w="3209" w:type="dxa"/>
            <w:vAlign w:val="center"/>
          </w:tcPr>
          <w:p w14:paraId="778F04AB" w14:textId="77777777" w:rsidR="004C665B" w:rsidRDefault="004C665B" w:rsidP="002C5E95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-1,0&lt;SPI|SRI&lt;0</m:t>
                </m:r>
              </m:oMath>
            </m:oMathPara>
          </w:p>
        </w:tc>
        <w:tc>
          <w:tcPr>
            <w:tcW w:w="3210" w:type="dxa"/>
            <w:vAlign w:val="center"/>
          </w:tcPr>
          <w:p w14:paraId="44B31CA4" w14:textId="77777777" w:rsidR="004C665B" w:rsidRDefault="004C665B" w:rsidP="002C5E95">
            <w:pPr>
              <w:jc w:val="center"/>
            </w:pPr>
            <w:r>
              <w:t>Seca Leve</w:t>
            </w:r>
          </w:p>
        </w:tc>
        <w:tc>
          <w:tcPr>
            <w:tcW w:w="3210" w:type="dxa"/>
            <w:vAlign w:val="center"/>
          </w:tcPr>
          <w:p w14:paraId="265E979F" w14:textId="77777777" w:rsidR="004C665B" w:rsidRDefault="004C665B" w:rsidP="002C5E95">
            <w:pPr>
              <w:jc w:val="center"/>
            </w:pPr>
            <w:r>
              <w:t>Seca Leve (SL)</w:t>
            </w:r>
          </w:p>
        </w:tc>
      </w:tr>
      <w:tr w:rsidR="004C665B" w14:paraId="03BE4B50" w14:textId="77777777" w:rsidTr="002C5E95">
        <w:tc>
          <w:tcPr>
            <w:tcW w:w="3209" w:type="dxa"/>
            <w:vAlign w:val="center"/>
          </w:tcPr>
          <w:p w14:paraId="049A1383" w14:textId="77777777" w:rsidR="004C665B" w:rsidRDefault="004C665B" w:rsidP="002C5E95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-1,5&lt;SPI|SRI≤-1,0</m:t>
                </m:r>
              </m:oMath>
            </m:oMathPara>
          </w:p>
        </w:tc>
        <w:tc>
          <w:tcPr>
            <w:tcW w:w="3210" w:type="dxa"/>
            <w:vAlign w:val="center"/>
          </w:tcPr>
          <w:p w14:paraId="25EB4DD3" w14:textId="77777777" w:rsidR="004C665B" w:rsidRDefault="004C665B" w:rsidP="002C5E95">
            <w:pPr>
              <w:jc w:val="center"/>
            </w:pPr>
            <w:r>
              <w:t>Seca Moderada</w:t>
            </w:r>
          </w:p>
        </w:tc>
        <w:tc>
          <w:tcPr>
            <w:tcW w:w="3210" w:type="dxa"/>
            <w:vAlign w:val="center"/>
          </w:tcPr>
          <w:p w14:paraId="4F156B32" w14:textId="77777777" w:rsidR="004C665B" w:rsidRDefault="004C665B" w:rsidP="002C5E95">
            <w:pPr>
              <w:jc w:val="center"/>
            </w:pPr>
            <w:r>
              <w:t>Seca Moderada (SM)</w:t>
            </w:r>
          </w:p>
        </w:tc>
      </w:tr>
      <w:tr w:rsidR="004C665B" w14:paraId="33A49A84" w14:textId="77777777" w:rsidTr="002C5E95">
        <w:tc>
          <w:tcPr>
            <w:tcW w:w="3209" w:type="dxa"/>
            <w:vAlign w:val="center"/>
          </w:tcPr>
          <w:p w14:paraId="365BEFFD" w14:textId="77777777" w:rsidR="004C665B" w:rsidRDefault="004C665B" w:rsidP="002C5E95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-2,0&lt;SPI|SRI≤-1,5</m:t>
                </m:r>
              </m:oMath>
            </m:oMathPara>
          </w:p>
        </w:tc>
        <w:tc>
          <w:tcPr>
            <w:tcW w:w="3210" w:type="dxa"/>
            <w:vAlign w:val="center"/>
          </w:tcPr>
          <w:p w14:paraId="00129208" w14:textId="77777777" w:rsidR="004C665B" w:rsidRDefault="004C665B" w:rsidP="002C5E95">
            <w:pPr>
              <w:jc w:val="center"/>
            </w:pPr>
            <w:r>
              <w:t>Seca Severa</w:t>
            </w:r>
          </w:p>
        </w:tc>
        <w:tc>
          <w:tcPr>
            <w:tcW w:w="3210" w:type="dxa"/>
            <w:vMerge w:val="restart"/>
            <w:vAlign w:val="center"/>
          </w:tcPr>
          <w:p w14:paraId="6378FD91" w14:textId="77777777" w:rsidR="004C665B" w:rsidRDefault="004C665B" w:rsidP="002C5E95">
            <w:pPr>
              <w:jc w:val="center"/>
            </w:pPr>
            <w:r>
              <w:t>Seca Severa ou Extrema (SSE)</w:t>
            </w:r>
          </w:p>
        </w:tc>
      </w:tr>
      <w:tr w:rsidR="004C665B" w14:paraId="28057C2C" w14:textId="77777777" w:rsidTr="002C5E95">
        <w:tc>
          <w:tcPr>
            <w:tcW w:w="3209" w:type="dxa"/>
            <w:vAlign w:val="center"/>
          </w:tcPr>
          <w:p w14:paraId="4CC87E36" w14:textId="77777777" w:rsidR="004C665B" w:rsidRDefault="004C665B" w:rsidP="002C5E95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SPI|SRI≥-2,0</m:t>
                </m:r>
              </m:oMath>
            </m:oMathPara>
          </w:p>
        </w:tc>
        <w:tc>
          <w:tcPr>
            <w:tcW w:w="3210" w:type="dxa"/>
            <w:vAlign w:val="center"/>
          </w:tcPr>
          <w:p w14:paraId="429EC9AA" w14:textId="77777777" w:rsidR="004C665B" w:rsidRDefault="004C665B" w:rsidP="002C5E95">
            <w:pPr>
              <w:jc w:val="center"/>
            </w:pPr>
            <w:r>
              <w:t>Seca Extrema</w:t>
            </w:r>
          </w:p>
        </w:tc>
        <w:tc>
          <w:tcPr>
            <w:tcW w:w="3210" w:type="dxa"/>
            <w:vMerge/>
            <w:vAlign w:val="center"/>
          </w:tcPr>
          <w:p w14:paraId="60AB55BF" w14:textId="77777777" w:rsidR="004C665B" w:rsidRDefault="004C665B" w:rsidP="002C5E95">
            <w:pPr>
              <w:jc w:val="center"/>
            </w:pPr>
          </w:p>
        </w:tc>
      </w:tr>
    </w:tbl>
    <w:p w14:paraId="4B63B73A" w14:textId="77777777" w:rsidR="004C665B" w:rsidRPr="002B4E15" w:rsidRDefault="004C665B" w:rsidP="002B4E15"/>
    <w:p w14:paraId="6C11644F" w14:textId="30F3F3D5" w:rsidR="002F2759" w:rsidRDefault="002F2759" w:rsidP="002F2759">
      <w:pPr>
        <w:pStyle w:val="Ttulo1"/>
      </w:pPr>
      <w:r>
        <w:t>RESULTADOS</w:t>
      </w:r>
    </w:p>
    <w:p w14:paraId="76738246" w14:textId="171BFF49" w:rsidR="00E32351" w:rsidRPr="00E32351" w:rsidRDefault="006413FC" w:rsidP="008E2CEB">
      <w:pPr>
        <w:pStyle w:val="Ttulo2"/>
      </w:pPr>
      <w:r>
        <w:t>Caracterização Hidrometeorológica</w:t>
      </w:r>
    </w:p>
    <w:p w14:paraId="4931D837" w14:textId="157458FD" w:rsidR="00E32351" w:rsidRDefault="00E32351" w:rsidP="00E32351">
      <w:pPr>
        <w:pStyle w:val="Legenda"/>
        <w:keepNext/>
        <w:jc w:val="center"/>
      </w:pPr>
      <w:r>
        <w:t xml:space="preserve">Figura </w:t>
      </w:r>
      <w:r w:rsidR="00E56411">
        <w:fldChar w:fldCharType="begin"/>
      </w:r>
      <w:r w:rsidR="00E56411">
        <w:instrText xml:space="preserve"> SEQ Figura \* ARABIC </w:instrText>
      </w:r>
      <w:r w:rsidR="00E56411">
        <w:fldChar w:fldCharType="separate"/>
      </w:r>
      <w:r w:rsidR="00CF6AE6">
        <w:rPr>
          <w:noProof/>
        </w:rPr>
        <w:t>3</w:t>
      </w:r>
      <w:r w:rsidR="00E56411">
        <w:rPr>
          <w:noProof/>
        </w:rPr>
        <w:fldChar w:fldCharType="end"/>
      </w:r>
      <w:r>
        <w:t xml:space="preserve"> –</w:t>
      </w:r>
    </w:p>
    <w:p w14:paraId="26897703" w14:textId="281D4859" w:rsidR="002C06DB" w:rsidRDefault="00D01FA4" w:rsidP="00CC6A91">
      <w:pPr>
        <w:jc w:val="center"/>
      </w:pPr>
      <w:r>
        <w:rPr>
          <w:noProof/>
        </w:rPr>
        <w:drawing>
          <wp:inline distT="0" distB="0" distL="0" distR="0" wp14:anchorId="02EB5B8F" wp14:editId="4D29519B">
            <wp:extent cx="2700000" cy="1833183"/>
            <wp:effectExtent l="0" t="0" r="571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83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4378C" wp14:editId="16AB3996">
            <wp:extent cx="2700000" cy="1828327"/>
            <wp:effectExtent l="0" t="0" r="5715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82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D33FC" w14:textId="31C17A3B" w:rsidR="008E2CEB" w:rsidRDefault="008E2CEB" w:rsidP="008E2CEB">
      <w:r>
        <w:tab/>
        <w:t>A Figura 3 apresenta a climatologia da precipitação média e da vazão para a bacia hidrográfica considerada. Observa-se uma sazonalidade bem definida na precipitação (Figura 3a), sendo possível definir claramente duas estações na bacia hidrográfica: i) estação seca, entre maio e setembro, e ii) estação úmida entre outubro e abril.</w:t>
      </w:r>
    </w:p>
    <w:p w14:paraId="3042FF2A" w14:textId="4283BFBF" w:rsidR="00C97323" w:rsidRDefault="00861293" w:rsidP="00CC6A91">
      <w:r>
        <w:tab/>
        <w:t>Na</w:t>
      </w:r>
      <w:r w:rsidR="00CC6A91">
        <w:t xml:space="preserve"> climatologia da vazão (Figura 3b), por sua vez, </w:t>
      </w:r>
      <w:r>
        <w:t>pode-se visualizar um claro reflexo da sazonalidade da precipitação nas vazões mensais ao longo do ano, com um for</w:t>
      </w:r>
      <w:r w:rsidR="00264C1F">
        <w:t>te</w:t>
      </w:r>
      <w:r>
        <w:t xml:space="preserve"> decrescimento entre maio e setembro, onde atinge o mínimo anual</w:t>
      </w:r>
      <w:r w:rsidR="00264C1F">
        <w:t xml:space="preserve"> (</w:t>
      </w:r>
      <w:r w:rsidR="00B11B25">
        <w:t>192</w:t>
      </w:r>
      <w:r w:rsidR="00264C1F">
        <w:t xml:space="preserve"> m³/s), e um crescimento das vazões a partir de outubro, atingindo os maiores patamares com vazões acima de 300 m³/s entre janeiro e abril.</w:t>
      </w:r>
      <w:r w:rsidR="00AE2B44">
        <w:t xml:space="preserve"> Esse comportamento expõe uma não intermitência das vazões ao longo do ano, apesar da estação seca do supracitada, indicando uma forte regularização das vazões na bacia hidrográfica analisada.</w:t>
      </w:r>
    </w:p>
    <w:p w14:paraId="65626481" w14:textId="79FE3644" w:rsidR="00264C1F" w:rsidRDefault="00C97323" w:rsidP="00CC6A91">
      <w:r>
        <w:tab/>
        <w:t xml:space="preserve">Como apontado por Lucas </w:t>
      </w:r>
      <w:r w:rsidRPr="00C97323">
        <w:rPr>
          <w:i/>
          <w:iCs/>
        </w:rPr>
        <w:t>et al.</w:t>
      </w:r>
      <w:r>
        <w:t xml:space="preserve"> (2021), na região Oeste da Bahia se situa o Sitema Aquífero de Urucuia (SA</w:t>
      </w:r>
      <w:r w:rsidR="008239AA">
        <w:t>U</w:t>
      </w:r>
      <w:r>
        <w:t>)</w:t>
      </w:r>
      <w:r w:rsidR="008239AA">
        <w:t>, sendo uma importante fonte hídrica para a bacia hidrográfica do rio São Francisco e um dos principais mecanismos de regularização das vazões durante a estação seca. Devido a ausência de grandes reservatórios artificiais na bacia hidrográfica da estação fluviométrica 46902000, assume</w:t>
      </w:r>
      <w:r w:rsidR="008239AA">
        <w:noBreakHyphen/>
        <w:t>se que o SAU é o principal mecanismo responsável pela intermitência das vazões ao longo do ano nessa região.</w:t>
      </w:r>
    </w:p>
    <w:p w14:paraId="2874C2C5" w14:textId="2194141D" w:rsidR="008239AA" w:rsidRPr="00E031CB" w:rsidRDefault="008239AA" w:rsidP="00CC6A91">
      <w:r>
        <w:tab/>
        <w:t>O SAU é um aquífero sedimentar que abrange uma área de cerca de 125.000 km²</w:t>
      </w:r>
      <w:r w:rsidR="008D5A3F">
        <w:t xml:space="preserve">, estando sua maior parte localizada na região Oeste da Bahia e, por consequência, situando-se na região do </w:t>
      </w:r>
      <w:r w:rsidR="008D5A3F">
        <w:lastRenderedPageBreak/>
        <w:t>MATOPIBA. Constatou-se um comportamento decrescente nas vazões liberadas pelo SAU a partir de 1980, onde se observou uma contribuição de 792 m³/s para o rio São Francisco, atingindo valores de 390 m³/s em 2015</w:t>
      </w:r>
      <w:r w:rsidR="00AE2B44">
        <w:t xml:space="preserve"> (≈−</w:t>
      </w:r>
      <w:r w:rsidR="00E031CB">
        <w:t>51%</w:t>
      </w:r>
      <w:r w:rsidR="00AE2B44">
        <w:t>)</w:t>
      </w:r>
      <w:r w:rsidR="00E031CB">
        <w:t>. Essa redução pode ser atribuída, em partes, ao aumento da exploração de águas subterrâneas</w:t>
      </w:r>
      <w:r w:rsidR="00AE2B44">
        <w:t xml:space="preserve"> e superficiais</w:t>
      </w:r>
      <w:r w:rsidR="00E031CB">
        <w:t xml:space="preserve"> para irrigação e outros usos, compactação do solo nas áreas de recarga, entre outras atividades (Lucas </w:t>
      </w:r>
      <w:r w:rsidR="00E031CB">
        <w:rPr>
          <w:i/>
          <w:iCs/>
        </w:rPr>
        <w:t>et al.,</w:t>
      </w:r>
      <w:r w:rsidR="00E031CB">
        <w:t xml:space="preserve"> 2021; Gonçalves </w:t>
      </w:r>
      <w:r w:rsidR="00E031CB">
        <w:rPr>
          <w:i/>
          <w:iCs/>
        </w:rPr>
        <w:t>et al.,</w:t>
      </w:r>
      <w:r w:rsidR="00E031CB">
        <w:t xml:space="preserve"> 2018).</w:t>
      </w:r>
    </w:p>
    <w:p w14:paraId="2B2FB2C2" w14:textId="137184A7" w:rsidR="002F2759" w:rsidRDefault="009653C0" w:rsidP="009653C0">
      <w:pPr>
        <w:pStyle w:val="Ttulo2"/>
      </w:pPr>
      <w:r>
        <w:t>Índices de Seca</w:t>
      </w:r>
    </w:p>
    <w:p w14:paraId="04FABB2F" w14:textId="161CB3BD" w:rsidR="00CF6AE6" w:rsidRPr="00CF6AE6" w:rsidRDefault="00CF6AE6" w:rsidP="00CF6AE6">
      <w:r>
        <w:tab/>
        <w:t>A Figura 4 apresenta a série anual de SPI-12 e SRI-12 para o período de 1935 até 2020.</w:t>
      </w:r>
    </w:p>
    <w:p w14:paraId="552D0B91" w14:textId="2729FF15" w:rsidR="00CF6AE6" w:rsidRDefault="00CF6AE6" w:rsidP="00CF6AE6">
      <w:pPr>
        <w:pStyle w:val="Legenda"/>
        <w:keepNext/>
        <w:jc w:val="center"/>
      </w:pPr>
      <w:r>
        <w:t xml:space="preserve">Figura </w:t>
      </w:r>
      <w:r w:rsidR="00E56411">
        <w:fldChar w:fldCharType="begin"/>
      </w:r>
      <w:r w:rsidR="00E56411">
        <w:instrText xml:space="preserve"> SEQ Figura \* ARABIC </w:instrText>
      </w:r>
      <w:r w:rsidR="00E56411">
        <w:fldChar w:fldCharType="separate"/>
      </w:r>
      <w:r>
        <w:rPr>
          <w:noProof/>
        </w:rPr>
        <w:t>4</w:t>
      </w:r>
      <w:r w:rsidR="00E56411">
        <w:rPr>
          <w:noProof/>
        </w:rPr>
        <w:fldChar w:fldCharType="end"/>
      </w:r>
      <w:r>
        <w:t xml:space="preserve"> –</w:t>
      </w:r>
    </w:p>
    <w:p w14:paraId="7FD17366" w14:textId="77777777" w:rsidR="006413FC" w:rsidRPr="006413FC" w:rsidRDefault="006413FC" w:rsidP="00C155C3">
      <w:pPr>
        <w:jc w:val="center"/>
      </w:pPr>
      <w:r>
        <w:rPr>
          <w:noProof/>
        </w:rPr>
        <w:drawing>
          <wp:inline distT="0" distB="0" distL="0" distR="0" wp14:anchorId="40FEBAF5" wp14:editId="57A8408A">
            <wp:extent cx="4279890" cy="3240000"/>
            <wp:effectExtent l="0" t="0" r="698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89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C10F2" w14:textId="02E327F3" w:rsidR="00CF6AE6" w:rsidRPr="00CF6AE6" w:rsidRDefault="009653C0" w:rsidP="004C665B">
      <w:pPr>
        <w:pStyle w:val="Ttulo2"/>
      </w:pPr>
      <w:r>
        <w:t>Estados de Seca</w:t>
      </w:r>
    </w:p>
    <w:p w14:paraId="554BBDE3" w14:textId="3C18834A" w:rsidR="00CF6AE6" w:rsidRDefault="00CF6AE6" w:rsidP="00CF6AE6">
      <w:pPr>
        <w:pStyle w:val="Legenda"/>
        <w:keepNext/>
        <w:jc w:val="center"/>
      </w:pPr>
      <w:r>
        <w:t xml:space="preserve">Figura </w:t>
      </w:r>
      <w:r w:rsidR="00E56411">
        <w:fldChar w:fldCharType="begin"/>
      </w:r>
      <w:r w:rsidR="00E56411">
        <w:instrText xml:space="preserve"> SEQ Fig</w:instrText>
      </w:r>
      <w:r w:rsidR="00E56411">
        <w:instrText xml:space="preserve">ura \* ARABIC </w:instrText>
      </w:r>
      <w:r w:rsidR="00E56411">
        <w:fldChar w:fldCharType="separate"/>
      </w:r>
      <w:r>
        <w:rPr>
          <w:noProof/>
        </w:rPr>
        <w:t>5</w:t>
      </w:r>
      <w:r w:rsidR="00E56411">
        <w:rPr>
          <w:noProof/>
        </w:rPr>
        <w:fldChar w:fldCharType="end"/>
      </w:r>
      <w:r>
        <w:t xml:space="preserve"> –</w:t>
      </w:r>
    </w:p>
    <w:p w14:paraId="3F1CF9AB" w14:textId="5F804D19" w:rsidR="009653C0" w:rsidRDefault="008B4F4A" w:rsidP="00C155C3">
      <w:pPr>
        <w:jc w:val="center"/>
      </w:pPr>
      <w:r>
        <w:rPr>
          <w:noProof/>
        </w:rPr>
        <w:drawing>
          <wp:inline distT="0" distB="0" distL="0" distR="0" wp14:anchorId="09DB26C2" wp14:editId="12650CE5">
            <wp:extent cx="3463398" cy="2700000"/>
            <wp:effectExtent l="0" t="0" r="381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98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9E49" w14:textId="3255136E" w:rsidR="004C665B" w:rsidRPr="009653C0" w:rsidRDefault="004C665B" w:rsidP="004C665B">
      <w:r>
        <w:lastRenderedPageBreak/>
        <w:tab/>
      </w:r>
      <w:r>
        <w:t>A Figura 5 apresenta a matriz de transição dos estados de seca apresentados na Tabela 1 para as séries anuais do SPI-12 no período P1 (Figura 5a), SPI-12 no período P2 (Figura 5b), SPI-12 no período P1 (Figura 5c) e SPI-12 no período P2 (Figura 5d).</w:t>
      </w:r>
    </w:p>
    <w:p w14:paraId="1CCDBC5D" w14:textId="737415E6" w:rsidR="00C76238" w:rsidRDefault="00D031B3" w:rsidP="00A00687">
      <w:r>
        <w:tab/>
      </w:r>
      <w:r w:rsidR="00A00687">
        <w:t>Comparando a evolução das probabilidades de transição do SPI-12 e SRI-12 entre os períodos P1 e P2, é digno de nota o comportamento das transições dada a ocorrência dos estados SM e SSE. Iniciando pela ocorrência do estado SSE no SRI-12, observa-se que no período P2 a maior probabilidade reside na manutenção desse estado, enquanto em P1 há 100% de chance de regredir para SM. Esse comportamento sugere que há uma maior persistência das secas hidrológicas de classe SSE no período P2.</w:t>
      </w:r>
    </w:p>
    <w:p w14:paraId="16DDC1F4" w14:textId="1F04BB77" w:rsidR="008C2352" w:rsidRDefault="00A00687" w:rsidP="00A00687">
      <w:r>
        <w:tab/>
        <w:t xml:space="preserve">Avaliando a ocorrência do estado SSE no SPI-12, o padrão de evolução das probabilidades de transição visualizados no SRI-12 não é observado. Como pode-se </w:t>
      </w:r>
      <w:r w:rsidR="00313CB1">
        <w:t>aferir</w:t>
      </w:r>
      <w:r>
        <w:t xml:space="preserve"> nas Figuras 5a e 5b, dada a ocorrência de uma seca meteorológica de classe SSE, as transições sempre ocorrem no sentido de </w:t>
      </w:r>
      <w:r w:rsidR="006A5A1C">
        <w:t>regressão da</w:t>
      </w:r>
      <w:r>
        <w:t xml:space="preserve"> classe de seca para uma SL ou SS, sendo que em P2 há uma maior probabilidade de regredir para um estado SS</w:t>
      </w:r>
      <w:r w:rsidR="008C2352">
        <w:t xml:space="preserve"> (57,14%)</w:t>
      </w:r>
      <w:r>
        <w:t>, enquanto em P1 há maior probabilidade reside na regressão para SL</w:t>
      </w:r>
      <w:r w:rsidR="008C2352">
        <w:t xml:space="preserve"> (66,67%)</w:t>
      </w:r>
      <w:r>
        <w:t>.</w:t>
      </w:r>
      <w:r w:rsidR="008C2352">
        <w:t xml:space="preserve"> </w:t>
      </w:r>
    </w:p>
    <w:p w14:paraId="34AF59AF" w14:textId="44D33DD5" w:rsidR="008C2352" w:rsidRDefault="008C2352" w:rsidP="00A00687">
      <w:r>
        <w:tab/>
        <w:t>No tocante a ocorrência do estado SM, constata-se que o SRI-12 no período P1 apresenta três transições equiprováveis: manutenção do estado ou regressão para SL ou SS; enquanto que no período P2 apresenta duas transições equiprováveis: progressão para uma SSE ou regressão para uma SL. Apesar de em metade dos casos haver regressão da classe de seca, esse comportamento sugere que as secas</w:t>
      </w:r>
      <w:r w:rsidR="006A5A1C">
        <w:t xml:space="preserve"> hidrológicas</w:t>
      </w:r>
      <w:r>
        <w:t xml:space="preserve"> classificadas como SM apresentaram uma possibilidade de progressão para uma SSE no período P2, o que não foi observado no período P1.</w:t>
      </w:r>
    </w:p>
    <w:p w14:paraId="78467AF2" w14:textId="42FC738E" w:rsidR="008C2352" w:rsidRDefault="004C665B" w:rsidP="00A00687">
      <w:r>
        <w:tab/>
      </w:r>
      <w:r w:rsidR="008C2352">
        <w:t xml:space="preserve">No SPI-12, </w:t>
      </w:r>
      <w:r>
        <w:t>dada a ocorrência do estado SM, observa-se um comportamento divergente do observado no SRI-12</w:t>
      </w:r>
      <w:r w:rsidR="006A5A1C">
        <w:t>, com as transições sempre ocorrendo para regressão dessa classe de seca ou manutenção do estado, tanto em P2 quanto em P1. Todavia, vale ressaltar o aumento das probabilidades de transição para o estado SL e manutenção do estado SM em P2, enquanto em P1 há uma larga predominância das transições para o estado SS.</w:t>
      </w:r>
    </w:p>
    <w:p w14:paraId="69E9D4DE" w14:textId="0323C209" w:rsidR="006A5A1C" w:rsidRDefault="006A5A1C" w:rsidP="00A00687">
      <w:r>
        <w:tab/>
        <w:t>Em ambos os casos</w:t>
      </w:r>
      <w:r w:rsidR="00313CB1">
        <w:t xml:space="preserve"> do SPI-12</w:t>
      </w:r>
      <w:r>
        <w:t>, as transições das</w:t>
      </w:r>
      <w:r w:rsidR="00313CB1">
        <w:t xml:space="preserve"> classes de</w:t>
      </w:r>
      <w:r>
        <w:t xml:space="preserve"> secas</w:t>
      </w:r>
      <w:r w:rsidR="00313CB1">
        <w:t xml:space="preserve"> </w:t>
      </w:r>
      <w:r>
        <w:t>dada a ocorrência de seca</w:t>
      </w:r>
      <w:r w:rsidR="00313CB1">
        <w:t xml:space="preserve">s meteorológicas </w:t>
      </w:r>
      <w:r>
        <w:t>de classe SM e SSE sempre foram no sentido de regressão da classe de seca, conservando esse comportamento entre o período P1 e P2, apenas alterando os valores das probabilidades de transição.</w:t>
      </w:r>
      <w:r w:rsidR="00313CB1">
        <w:t xml:space="preserve"> Ademais, nas ocorrências da classe SSE, atribui uma maior probabilidade de transição para SS (57,14%) em P2, enquanto P1 atribui para SL (66,67%).</w:t>
      </w:r>
    </w:p>
    <w:p w14:paraId="748FD84A" w14:textId="2C77861E" w:rsidR="00313CB1" w:rsidRDefault="00313CB1" w:rsidP="00A00687">
      <w:r>
        <w:tab/>
        <w:t>O comportamento observado para o SPI-12 sugere que as mudanças nas transições das classes de seca do SRI-12 no período P2 em relação ao P1, dada a ocorrência de secas hidrológicas de classe SM e SSE, pode não estar exclusivamente associada às mudanças nos padrões de precipitação. Dessa forma, conjectura-se que essas mudanças nas transições do SRI-12 no período P2 podem estar associados à mecanismos adicionais como as mudanças antrópicas induzidas na bacia hidrográfica, seja pela modificação do Uso e Cobertura do Solo, mudança nos padrões de utilização desses recursos, entre outros.</w:t>
      </w:r>
    </w:p>
    <w:p w14:paraId="46B3AE76" w14:textId="77777777" w:rsidR="008C2352" w:rsidRDefault="008C2352" w:rsidP="00A00687"/>
    <w:p w14:paraId="77E72D8E" w14:textId="7ACB9DCA" w:rsidR="00275DD8" w:rsidRDefault="00275DD8" w:rsidP="002F2759">
      <w:r>
        <w:tab/>
      </w:r>
    </w:p>
    <w:sectPr w:rsidR="00275DD8" w:rsidSect="00A824E1">
      <w:headerReference w:type="default" r:id="rId18"/>
      <w:footerReference w:type="even" r:id="rId19"/>
      <w:footerReference w:type="default" r:id="rId20"/>
      <w:type w:val="nextColumn"/>
      <w:pgSz w:w="11907" w:h="16840" w:code="9"/>
      <w:pgMar w:top="1134" w:right="1134" w:bottom="1134" w:left="1134" w:header="227" w:footer="794" w:gutter="0"/>
      <w:cols w:space="720"/>
      <w:noEndnote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Eduardo Lima" w:date="2023-05-26T17:47:00Z" w:initials="EL">
    <w:p w14:paraId="51BA5958" w14:textId="5BAA67DC" w:rsidR="000520AA" w:rsidRDefault="000520AA">
      <w:pPr>
        <w:pStyle w:val="Textodecomentrio"/>
      </w:pPr>
      <w:r>
        <w:rPr>
          <w:rStyle w:val="Refdecomentrio"/>
        </w:rPr>
        <w:annotationRef/>
      </w:r>
      <w:r w:rsidR="00C709AA">
        <w:rPr>
          <w:noProof/>
        </w:rPr>
        <w:t>Refazer para inserir a área do MATOPIBA</w:t>
      </w:r>
    </w:p>
  </w:comment>
  <w:comment w:id="2" w:author="Eduardo Lima" w:date="2023-05-22T17:41:00Z" w:initials="EL">
    <w:p w14:paraId="60842237" w14:textId="3CA78487" w:rsidR="0078427D" w:rsidRDefault="0078427D">
      <w:pPr>
        <w:pStyle w:val="Textodecomentrio"/>
      </w:pPr>
      <w:r>
        <w:rPr>
          <w:rStyle w:val="Refdecomentrio"/>
        </w:rPr>
        <w:annotationRef/>
      </w:r>
      <w:r w:rsidRPr="0078427D">
        <w:t>https://www.embrapa.br/tema-matopiba/sobre-o-tema</w:t>
      </w:r>
      <w:r w:rsidR="00313F15">
        <w:rPr>
          <w:noProof/>
        </w:rPr>
        <w:t xml:space="preserve"> (Acessado em 22/05/2023)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1BA5958" w15:done="0"/>
  <w15:commentEx w15:paraId="6084223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1B6F25" w16cex:dateUtc="2023-05-26T20:47:00Z"/>
  <w16cex:commentExtensible w16cex:durableId="281627AD" w16cex:dateUtc="2023-05-22T20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1BA5958" w16cid:durableId="281B6F25"/>
  <w16cid:commentId w16cid:paraId="60842237" w16cid:durableId="281627A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B41839" w14:textId="77777777" w:rsidR="00E56411" w:rsidRDefault="00E56411">
      <w:r>
        <w:separator/>
      </w:r>
    </w:p>
  </w:endnote>
  <w:endnote w:type="continuationSeparator" w:id="0">
    <w:p w14:paraId="55CF4228" w14:textId="77777777" w:rsidR="00E56411" w:rsidRDefault="00E564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891BA" w14:textId="77777777" w:rsidR="00FE0B49" w:rsidRDefault="00FE0B49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8BB7B2A" w14:textId="77777777" w:rsidR="00FE0B49" w:rsidRDefault="00FE0B49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B0E08" w14:textId="2FE3CFE8" w:rsidR="00FE0B49" w:rsidRPr="00F640FF" w:rsidRDefault="00FE0B49" w:rsidP="00B322C4">
    <w:pPr>
      <w:pStyle w:val="Rodap"/>
      <w:framePr w:wrap="around" w:vAnchor="text" w:hAnchor="margin" w:xAlign="right" w:y="1"/>
      <w:rPr>
        <w:rStyle w:val="Nmerodepgina"/>
        <w:iCs/>
        <w:sz w:val="16"/>
      </w:rPr>
    </w:pPr>
    <w:r w:rsidRPr="00F640FF">
      <w:rPr>
        <w:rStyle w:val="Nmerodepgina"/>
        <w:iCs/>
        <w:sz w:val="16"/>
      </w:rPr>
      <w:fldChar w:fldCharType="begin"/>
    </w:r>
    <w:r w:rsidRPr="00F640FF">
      <w:rPr>
        <w:rStyle w:val="Nmerodepgina"/>
        <w:iCs/>
        <w:sz w:val="16"/>
      </w:rPr>
      <w:instrText xml:space="preserve">PAGE  </w:instrText>
    </w:r>
    <w:r w:rsidRPr="00F640FF">
      <w:rPr>
        <w:rStyle w:val="Nmerodepgina"/>
        <w:iCs/>
        <w:sz w:val="16"/>
      </w:rPr>
      <w:fldChar w:fldCharType="separate"/>
    </w:r>
    <w:r w:rsidR="002927C6">
      <w:rPr>
        <w:rStyle w:val="Nmerodepgina"/>
        <w:iCs/>
        <w:noProof/>
        <w:sz w:val="16"/>
      </w:rPr>
      <w:t>3</w:t>
    </w:r>
    <w:r w:rsidRPr="00F640FF">
      <w:rPr>
        <w:rStyle w:val="Nmerodepgina"/>
        <w:iCs/>
        <w:sz w:val="16"/>
      </w:rPr>
      <w:fldChar w:fldCharType="end"/>
    </w:r>
  </w:p>
  <w:p w14:paraId="0FF60BD2" w14:textId="6090707F" w:rsidR="00FE0B49" w:rsidRDefault="00081436" w:rsidP="00842EEE">
    <w:pPr>
      <w:pStyle w:val="Rodap"/>
      <w:pBdr>
        <w:top w:val="single" w:sz="4" w:space="1" w:color="auto"/>
      </w:pBdr>
      <w:rPr>
        <w:i/>
        <w:iCs/>
        <w:sz w:val="16"/>
      </w:rPr>
    </w:pPr>
    <w:r>
      <w:rPr>
        <w:i/>
        <w:sz w:val="18"/>
        <w:szCs w:val="18"/>
      </w:rPr>
      <w:t>XXV</w:t>
    </w:r>
    <w:r w:rsidR="001277F4" w:rsidRPr="00A824E1">
      <w:rPr>
        <w:i/>
        <w:sz w:val="18"/>
        <w:szCs w:val="18"/>
      </w:rPr>
      <w:t xml:space="preserve"> Simpósio Brasileiro de Recursos Hídricos </w:t>
    </w:r>
    <w:r w:rsidR="000E45EA">
      <w:rPr>
        <w:i/>
        <w:sz w:val="18"/>
        <w:szCs w:val="18"/>
      </w:rPr>
      <w:t xml:space="preserve">(ISSN </w:t>
    </w:r>
    <w:r w:rsidR="000E45EA">
      <w:t>2318-0358)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04A6B" w14:textId="77777777" w:rsidR="00E56411" w:rsidRDefault="00E56411">
      <w:bookmarkStart w:id="0" w:name="_Hlk534747535"/>
      <w:bookmarkEnd w:id="0"/>
      <w:r>
        <w:separator/>
      </w:r>
    </w:p>
  </w:footnote>
  <w:footnote w:type="continuationSeparator" w:id="0">
    <w:p w14:paraId="17B6288F" w14:textId="77777777" w:rsidR="00E56411" w:rsidRDefault="00E56411">
      <w:r>
        <w:continuationSeparator/>
      </w:r>
    </w:p>
  </w:footnote>
  <w:footnote w:id="1">
    <w:p w14:paraId="1756435D" w14:textId="77777777" w:rsidR="00FE0B49" w:rsidRPr="005317CC" w:rsidRDefault="00FE0B49">
      <w:pPr>
        <w:pStyle w:val="Textodenotaderodap"/>
        <w:rPr>
          <w:sz w:val="16"/>
          <w:szCs w:val="16"/>
        </w:rPr>
      </w:pPr>
      <w:r w:rsidRPr="00DF6A7B">
        <w:rPr>
          <w:rStyle w:val="Refdenotaderodap"/>
          <w:sz w:val="16"/>
          <w:vertAlign w:val="baseline"/>
        </w:rPr>
        <w:footnoteRef/>
      </w:r>
      <w:r>
        <w:rPr>
          <w:sz w:val="16"/>
        </w:rPr>
        <w:t xml:space="preserve">) </w:t>
      </w:r>
      <w:r w:rsidRPr="005317CC">
        <w:rPr>
          <w:sz w:val="16"/>
          <w:szCs w:val="16"/>
        </w:rPr>
        <w:t xml:space="preserve">Afiliação: </w:t>
      </w:r>
      <w:r>
        <w:rPr>
          <w:sz w:val="16"/>
          <w:szCs w:val="16"/>
        </w:rPr>
        <w:t xml:space="preserve">Times New Roman, </w:t>
      </w:r>
      <w:r w:rsidRPr="005317CC">
        <w:rPr>
          <w:sz w:val="16"/>
          <w:szCs w:val="16"/>
        </w:rPr>
        <w:t>8 pt com endereço completo, fone, fax e e-mail</w:t>
      </w:r>
    </w:p>
  </w:footnote>
  <w:footnote w:id="2">
    <w:p w14:paraId="6362F6AA" w14:textId="77777777" w:rsidR="00FE0B49" w:rsidRDefault="00FE0B49">
      <w:pPr>
        <w:pStyle w:val="Textodenotaderodap"/>
      </w:pPr>
      <w:r w:rsidRPr="00DF6A7B">
        <w:rPr>
          <w:rStyle w:val="Refdenotaderodap"/>
          <w:sz w:val="16"/>
          <w:szCs w:val="16"/>
          <w:vertAlign w:val="baseline"/>
        </w:rPr>
        <w:footnoteRef/>
      </w:r>
      <w:r>
        <w:rPr>
          <w:sz w:val="16"/>
          <w:szCs w:val="16"/>
        </w:rPr>
        <w:t xml:space="preserve">) </w:t>
      </w:r>
      <w:r w:rsidRPr="005317CC">
        <w:rPr>
          <w:sz w:val="16"/>
          <w:szCs w:val="16"/>
        </w:rPr>
        <w:t xml:space="preserve">Afiliação: </w:t>
      </w:r>
      <w:r>
        <w:rPr>
          <w:sz w:val="16"/>
          <w:szCs w:val="16"/>
        </w:rPr>
        <w:t xml:space="preserve">Times New Roman, </w:t>
      </w:r>
      <w:r w:rsidRPr="005317CC">
        <w:rPr>
          <w:sz w:val="16"/>
          <w:szCs w:val="16"/>
        </w:rPr>
        <w:t>8 pt com endereço completo, fone, fax e e-mail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57D30" w14:textId="12548C4D" w:rsidR="00D37974" w:rsidRDefault="000E08C9" w:rsidP="00D37974">
    <w:pPr>
      <w:pStyle w:val="Cabealho"/>
      <w:ind w:left="-99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648CF8F" wp14:editId="7025276B">
              <wp:simplePos x="0" y="0"/>
              <wp:positionH relativeFrom="column">
                <wp:posOffset>-793750</wp:posOffset>
              </wp:positionH>
              <wp:positionV relativeFrom="paragraph">
                <wp:posOffset>-56515</wp:posOffset>
              </wp:positionV>
              <wp:extent cx="2381250" cy="1190625"/>
              <wp:effectExtent l="0" t="0" r="0" b="9525"/>
              <wp:wrapNone/>
              <wp:docPr id="1" name="Caixa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81250" cy="119062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7D21BB6D" w14:textId="77777777" w:rsidR="00D37974" w:rsidRDefault="00D37974" w:rsidP="00D37974">
                          <w:pPr>
                            <w:ind w:left="709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2204720" wp14:editId="2F869CD5">
                                <wp:extent cx="1409700" cy="903237"/>
                                <wp:effectExtent l="0" t="0" r="0" b="0"/>
                                <wp:docPr id="8" name="Imagem 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" name="XXVSBRH_OPÇÃO_01_escolhida.jp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433057" cy="918202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648CF8F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6" type="#_x0000_t202" style="position:absolute;left:0;text-align:left;margin-left:-62.5pt;margin-top:-4.45pt;width:187.5pt;height:93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" fillcolor="white [3201]" stroked="f" strokeweight=".5pt">
              <v:textbox>
                <w:txbxContent>
                  <w:p w14:paraId="7D21BB6D" w14:textId="77777777" w:rsidR="00D37974" w:rsidRDefault="00D37974" w:rsidP="00D37974">
                    <w:pPr>
                      <w:ind w:left="709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12204720" wp14:editId="2F869CD5">
                          <wp:extent cx="1409700" cy="903237"/>
                          <wp:effectExtent l="0" t="0" r="0" b="0"/>
                          <wp:docPr id="8" name="Imagem 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" name="XXVSBRH_OPÇÃO_01_escolhida.jpg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33057" cy="91820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A5045D1" wp14:editId="699F5869">
              <wp:simplePos x="0" y="0"/>
              <wp:positionH relativeFrom="column">
                <wp:posOffset>4261485</wp:posOffset>
              </wp:positionH>
              <wp:positionV relativeFrom="paragraph">
                <wp:posOffset>90170</wp:posOffset>
              </wp:positionV>
              <wp:extent cx="2009775" cy="1095375"/>
              <wp:effectExtent l="0" t="0" r="9525" b="9525"/>
              <wp:wrapNone/>
              <wp:docPr id="15" name="Caixa de Texto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09775" cy="10953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52694029" w14:textId="77777777" w:rsidR="00D37974" w:rsidRPr="00D75FBA" w:rsidRDefault="00D37974" w:rsidP="00D37974">
                          <w:pPr>
                            <w:ind w:left="284"/>
                            <w:jc w:val="center"/>
                            <w:rPr>
                              <w:rFonts w:cstheme="minorHAnsi"/>
                              <w:b/>
                              <w:color w:val="0070C0"/>
                            </w:rPr>
                          </w:pPr>
                        </w:p>
                        <w:p w14:paraId="2ACF40FC" w14:textId="77777777" w:rsidR="00D37974" w:rsidRPr="00D75FBA" w:rsidRDefault="00D37974" w:rsidP="00D37974">
                          <w:pPr>
                            <w:ind w:left="284"/>
                            <w:jc w:val="center"/>
                            <w:rPr>
                              <w:rFonts w:cstheme="minorHAnsi"/>
                              <w:i/>
                              <w:color w:val="0070C0"/>
                            </w:rPr>
                          </w:pPr>
                          <w:r w:rsidRPr="004B2D3B">
                            <w:rPr>
                              <w:noProof/>
                            </w:rPr>
                            <w:drawing>
                              <wp:inline distT="0" distB="0" distL="0" distR="0" wp14:anchorId="6BFCC016" wp14:editId="5A620334">
                                <wp:extent cx="1695450" cy="581497"/>
                                <wp:effectExtent l="0" t="0" r="0" b="9525"/>
                                <wp:docPr id="7" name="Imagem 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63764" cy="604927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A5045D1" id="Caixa de Texto 15" o:spid="_x0000_s1027" type="#_x0000_t202" style="position:absolute;left:0;text-align:left;margin-left:335.55pt;margin-top:7.1pt;width:158.25pt;height:8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" fillcolor="white [3201]" stroked="f" strokeweight=".5pt">
              <v:textbox>
                <w:txbxContent>
                  <w:p w14:paraId="52694029" w14:textId="77777777" w:rsidR="00D37974" w:rsidRPr="00D75FBA" w:rsidRDefault="00D37974" w:rsidP="00D37974">
                    <w:pPr>
                      <w:ind w:left="284"/>
                      <w:jc w:val="center"/>
                      <w:rPr>
                        <w:rFonts w:cstheme="minorHAnsi"/>
                        <w:b/>
                        <w:color w:val="0070C0"/>
                      </w:rPr>
                    </w:pPr>
                  </w:p>
                  <w:p w14:paraId="2ACF40FC" w14:textId="77777777" w:rsidR="00D37974" w:rsidRPr="00D75FBA" w:rsidRDefault="00D37974" w:rsidP="00D37974">
                    <w:pPr>
                      <w:ind w:left="284"/>
                      <w:jc w:val="center"/>
                      <w:rPr>
                        <w:rFonts w:cstheme="minorHAnsi"/>
                        <w:i/>
                        <w:color w:val="0070C0"/>
                      </w:rPr>
                    </w:pPr>
                    <w:r w:rsidRPr="004B2D3B">
                      <w:rPr>
                        <w:noProof/>
                      </w:rPr>
                      <w:drawing>
                        <wp:inline distT="0" distB="0" distL="0" distR="0" wp14:anchorId="6BFCC016" wp14:editId="5A620334">
                          <wp:extent cx="1695450" cy="581497"/>
                          <wp:effectExtent l="0" t="0" r="0" b="9525"/>
                          <wp:docPr id="7" name="Imagem 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"/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63764" cy="60492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1C004959" w14:textId="277803C4" w:rsidR="00572157" w:rsidRDefault="00572157" w:rsidP="00A824E1">
    <w:pPr>
      <w:pStyle w:val="Cabealho"/>
      <w:rPr>
        <w:noProof/>
      </w:rPr>
    </w:pPr>
  </w:p>
  <w:p w14:paraId="2845DCB3" w14:textId="77777777" w:rsidR="00572157" w:rsidRDefault="00572157" w:rsidP="00A824E1">
    <w:pPr>
      <w:pStyle w:val="Cabealho"/>
      <w:rPr>
        <w:noProof/>
      </w:rPr>
    </w:pPr>
  </w:p>
  <w:p w14:paraId="6585E4A8" w14:textId="623D577F" w:rsidR="00641FC8" w:rsidRDefault="001277F4" w:rsidP="00A824E1">
    <w:pPr>
      <w:pStyle w:val="Cabealho"/>
    </w:pPr>
    <w:r>
      <w:tab/>
    </w:r>
    <w:r>
      <w:tab/>
      <w:t xml:space="preserve">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C7B0386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243372FD"/>
    <w:multiLevelType w:val="hybridMultilevel"/>
    <w:tmpl w:val="446A15CA"/>
    <w:lvl w:ilvl="0" w:tplc="FFFFFFFF">
      <w:start w:val="1"/>
      <w:numFmt w:val="bullet"/>
      <w:lvlText w:val=""/>
      <w:lvlJc w:val="left"/>
      <w:pPr>
        <w:tabs>
          <w:tab w:val="num" w:pos="1356"/>
        </w:tabs>
        <w:ind w:left="1356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076"/>
        </w:tabs>
        <w:ind w:left="207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796"/>
        </w:tabs>
        <w:ind w:left="279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16"/>
        </w:tabs>
        <w:ind w:left="351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236"/>
        </w:tabs>
        <w:ind w:left="423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956"/>
        </w:tabs>
        <w:ind w:left="495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76"/>
        </w:tabs>
        <w:ind w:left="567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96"/>
        </w:tabs>
        <w:ind w:left="639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16"/>
        </w:tabs>
        <w:ind w:left="7116" w:hanging="360"/>
      </w:pPr>
      <w:rPr>
        <w:rFonts w:ascii="Wingdings" w:hAnsi="Wingdings" w:hint="default"/>
      </w:rPr>
    </w:lvl>
  </w:abstractNum>
  <w:abstractNum w:abstractNumId="3" w15:restartNumberingAfterBreak="0">
    <w:nsid w:val="337D6E68"/>
    <w:multiLevelType w:val="hybridMultilevel"/>
    <w:tmpl w:val="AB044FFE"/>
    <w:lvl w:ilvl="0" w:tplc="0416000D">
      <w:start w:val="1"/>
      <w:numFmt w:val="bullet"/>
      <w:lvlText w:val="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0F65CD0"/>
    <w:multiLevelType w:val="singleLevel"/>
    <w:tmpl w:val="0416000F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5" w15:restartNumberingAfterBreak="0">
    <w:nsid w:val="44151FF5"/>
    <w:multiLevelType w:val="hybridMultilevel"/>
    <w:tmpl w:val="D8C81C6A"/>
    <w:lvl w:ilvl="0" w:tplc="1E96C91C">
      <w:start w:val="1"/>
      <w:numFmt w:val="lowerLetter"/>
      <w:lvlText w:val="%1)"/>
      <w:lvlJc w:val="left"/>
      <w:pPr>
        <w:tabs>
          <w:tab w:val="num" w:pos="1695"/>
        </w:tabs>
        <w:ind w:left="1695" w:hanging="97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 w16cid:durableId="1418475680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" w16cid:durableId="1550919040">
    <w:abstractNumId w:val="4"/>
  </w:num>
  <w:num w:numId="3" w16cid:durableId="2085835924">
    <w:abstractNumId w:val="5"/>
  </w:num>
  <w:num w:numId="4" w16cid:durableId="843276983">
    <w:abstractNumId w:val="3"/>
  </w:num>
  <w:num w:numId="5" w16cid:durableId="813135964">
    <w:abstractNumId w:val="2"/>
  </w:num>
  <w:num w:numId="6" w16cid:durableId="74857474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Eduardo Lima">
    <w15:presenceInfo w15:providerId="None" w15:userId="Eduardo Lim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1CF6"/>
    <w:rsid w:val="000035C6"/>
    <w:rsid w:val="00044C49"/>
    <w:rsid w:val="000520AA"/>
    <w:rsid w:val="000552D8"/>
    <w:rsid w:val="00056EBF"/>
    <w:rsid w:val="0006047E"/>
    <w:rsid w:val="00071F57"/>
    <w:rsid w:val="00072928"/>
    <w:rsid w:val="00081436"/>
    <w:rsid w:val="00087A9F"/>
    <w:rsid w:val="000B0BA6"/>
    <w:rsid w:val="000C4F58"/>
    <w:rsid w:val="000C6AC8"/>
    <w:rsid w:val="000D0271"/>
    <w:rsid w:val="000E08C9"/>
    <w:rsid w:val="000E45EA"/>
    <w:rsid w:val="000F72EF"/>
    <w:rsid w:val="000F77EB"/>
    <w:rsid w:val="00113461"/>
    <w:rsid w:val="00117402"/>
    <w:rsid w:val="00120E58"/>
    <w:rsid w:val="001277F4"/>
    <w:rsid w:val="00127A8C"/>
    <w:rsid w:val="00136BD0"/>
    <w:rsid w:val="001418BA"/>
    <w:rsid w:val="00162A44"/>
    <w:rsid w:val="0016665E"/>
    <w:rsid w:val="00175B19"/>
    <w:rsid w:val="001B27E8"/>
    <w:rsid w:val="001E30F6"/>
    <w:rsid w:val="001F4ABB"/>
    <w:rsid w:val="00212795"/>
    <w:rsid w:val="002128A1"/>
    <w:rsid w:val="00220F42"/>
    <w:rsid w:val="00224BBE"/>
    <w:rsid w:val="00236B02"/>
    <w:rsid w:val="00244D2C"/>
    <w:rsid w:val="00250D71"/>
    <w:rsid w:val="00264C1F"/>
    <w:rsid w:val="00266410"/>
    <w:rsid w:val="00275DD8"/>
    <w:rsid w:val="00285A17"/>
    <w:rsid w:val="002927C6"/>
    <w:rsid w:val="002A114F"/>
    <w:rsid w:val="002B1F22"/>
    <w:rsid w:val="002B4E15"/>
    <w:rsid w:val="002C06DB"/>
    <w:rsid w:val="002C5554"/>
    <w:rsid w:val="002D1063"/>
    <w:rsid w:val="002D11E2"/>
    <w:rsid w:val="002E1F39"/>
    <w:rsid w:val="002E2C1C"/>
    <w:rsid w:val="002F2759"/>
    <w:rsid w:val="0030607B"/>
    <w:rsid w:val="003060A4"/>
    <w:rsid w:val="00313CB1"/>
    <w:rsid w:val="00313F15"/>
    <w:rsid w:val="0033481C"/>
    <w:rsid w:val="003558AE"/>
    <w:rsid w:val="0038360B"/>
    <w:rsid w:val="0038480E"/>
    <w:rsid w:val="00390674"/>
    <w:rsid w:val="0039592A"/>
    <w:rsid w:val="003E7A72"/>
    <w:rsid w:val="00412B7E"/>
    <w:rsid w:val="004245A1"/>
    <w:rsid w:val="00434AD0"/>
    <w:rsid w:val="00453F98"/>
    <w:rsid w:val="00461743"/>
    <w:rsid w:val="00481593"/>
    <w:rsid w:val="004C2375"/>
    <w:rsid w:val="004C665B"/>
    <w:rsid w:val="00511D33"/>
    <w:rsid w:val="0052420E"/>
    <w:rsid w:val="005317CC"/>
    <w:rsid w:val="0053236A"/>
    <w:rsid w:val="00546B38"/>
    <w:rsid w:val="00560775"/>
    <w:rsid w:val="00561619"/>
    <w:rsid w:val="00572157"/>
    <w:rsid w:val="005745EE"/>
    <w:rsid w:val="00581766"/>
    <w:rsid w:val="005856A8"/>
    <w:rsid w:val="00593AF6"/>
    <w:rsid w:val="005B0F6A"/>
    <w:rsid w:val="005B71A8"/>
    <w:rsid w:val="005C04EB"/>
    <w:rsid w:val="005C481E"/>
    <w:rsid w:val="005E7F52"/>
    <w:rsid w:val="00602C2E"/>
    <w:rsid w:val="00610FB5"/>
    <w:rsid w:val="00627973"/>
    <w:rsid w:val="00636406"/>
    <w:rsid w:val="006413FC"/>
    <w:rsid w:val="00641FC8"/>
    <w:rsid w:val="00675043"/>
    <w:rsid w:val="006A3298"/>
    <w:rsid w:val="006A5303"/>
    <w:rsid w:val="006A5A1C"/>
    <w:rsid w:val="006B094B"/>
    <w:rsid w:val="006B1258"/>
    <w:rsid w:val="006C1404"/>
    <w:rsid w:val="006C63ED"/>
    <w:rsid w:val="006E4A38"/>
    <w:rsid w:val="006F7E1E"/>
    <w:rsid w:val="007049C0"/>
    <w:rsid w:val="00712E00"/>
    <w:rsid w:val="00727B2D"/>
    <w:rsid w:val="0075122F"/>
    <w:rsid w:val="00755545"/>
    <w:rsid w:val="00760CF8"/>
    <w:rsid w:val="00762D71"/>
    <w:rsid w:val="00774923"/>
    <w:rsid w:val="00775577"/>
    <w:rsid w:val="0078427D"/>
    <w:rsid w:val="007846A7"/>
    <w:rsid w:val="007A233A"/>
    <w:rsid w:val="007A7603"/>
    <w:rsid w:val="007C2C0B"/>
    <w:rsid w:val="00801CF6"/>
    <w:rsid w:val="00805EAE"/>
    <w:rsid w:val="008107C4"/>
    <w:rsid w:val="008239AA"/>
    <w:rsid w:val="00824DB1"/>
    <w:rsid w:val="0082614B"/>
    <w:rsid w:val="00842EEE"/>
    <w:rsid w:val="0085320C"/>
    <w:rsid w:val="00861293"/>
    <w:rsid w:val="00883CD0"/>
    <w:rsid w:val="00886FBB"/>
    <w:rsid w:val="00891784"/>
    <w:rsid w:val="008A7678"/>
    <w:rsid w:val="008B1D90"/>
    <w:rsid w:val="008B4F4A"/>
    <w:rsid w:val="008B5209"/>
    <w:rsid w:val="008C01EA"/>
    <w:rsid w:val="008C1BA6"/>
    <w:rsid w:val="008C2352"/>
    <w:rsid w:val="008C3528"/>
    <w:rsid w:val="008D5A3F"/>
    <w:rsid w:val="008E2CEB"/>
    <w:rsid w:val="00905E95"/>
    <w:rsid w:val="00912082"/>
    <w:rsid w:val="00923BFB"/>
    <w:rsid w:val="00925E00"/>
    <w:rsid w:val="00931764"/>
    <w:rsid w:val="00934234"/>
    <w:rsid w:val="00943A17"/>
    <w:rsid w:val="009653C0"/>
    <w:rsid w:val="00975E2A"/>
    <w:rsid w:val="009A4A9D"/>
    <w:rsid w:val="009A4BFA"/>
    <w:rsid w:val="009C73FD"/>
    <w:rsid w:val="009D5247"/>
    <w:rsid w:val="009E1A76"/>
    <w:rsid w:val="009E25CD"/>
    <w:rsid w:val="009F212A"/>
    <w:rsid w:val="00A00094"/>
    <w:rsid w:val="00A00687"/>
    <w:rsid w:val="00A30625"/>
    <w:rsid w:val="00A3167D"/>
    <w:rsid w:val="00A65AE6"/>
    <w:rsid w:val="00A67ABA"/>
    <w:rsid w:val="00A733C6"/>
    <w:rsid w:val="00A74262"/>
    <w:rsid w:val="00A824E1"/>
    <w:rsid w:val="00AC422F"/>
    <w:rsid w:val="00AC7011"/>
    <w:rsid w:val="00AE2B44"/>
    <w:rsid w:val="00AF0FEF"/>
    <w:rsid w:val="00B11B25"/>
    <w:rsid w:val="00B11B6E"/>
    <w:rsid w:val="00B22595"/>
    <w:rsid w:val="00B26914"/>
    <w:rsid w:val="00B322C4"/>
    <w:rsid w:val="00B5774C"/>
    <w:rsid w:val="00B60E63"/>
    <w:rsid w:val="00B67FE5"/>
    <w:rsid w:val="00B90366"/>
    <w:rsid w:val="00B95C97"/>
    <w:rsid w:val="00BB7D83"/>
    <w:rsid w:val="00BC1747"/>
    <w:rsid w:val="00BC2314"/>
    <w:rsid w:val="00BC2630"/>
    <w:rsid w:val="00BC6DA4"/>
    <w:rsid w:val="00BF43D2"/>
    <w:rsid w:val="00BF5BF7"/>
    <w:rsid w:val="00C0420D"/>
    <w:rsid w:val="00C12A53"/>
    <w:rsid w:val="00C14DB3"/>
    <w:rsid w:val="00C155C3"/>
    <w:rsid w:val="00C2160A"/>
    <w:rsid w:val="00C600D2"/>
    <w:rsid w:val="00C70000"/>
    <w:rsid w:val="00C709AA"/>
    <w:rsid w:val="00C76238"/>
    <w:rsid w:val="00C97323"/>
    <w:rsid w:val="00CA640B"/>
    <w:rsid w:val="00CB1D78"/>
    <w:rsid w:val="00CB26D2"/>
    <w:rsid w:val="00CC1DE5"/>
    <w:rsid w:val="00CC6A91"/>
    <w:rsid w:val="00CC72AD"/>
    <w:rsid w:val="00CD1CED"/>
    <w:rsid w:val="00CD5363"/>
    <w:rsid w:val="00CE4221"/>
    <w:rsid w:val="00CF6AE6"/>
    <w:rsid w:val="00D01FA4"/>
    <w:rsid w:val="00D031B3"/>
    <w:rsid w:val="00D20920"/>
    <w:rsid w:val="00D37974"/>
    <w:rsid w:val="00D37BA0"/>
    <w:rsid w:val="00D44358"/>
    <w:rsid w:val="00D62BEE"/>
    <w:rsid w:val="00D76ABB"/>
    <w:rsid w:val="00D8036E"/>
    <w:rsid w:val="00DA5073"/>
    <w:rsid w:val="00DA65BF"/>
    <w:rsid w:val="00DB6DB6"/>
    <w:rsid w:val="00DC2791"/>
    <w:rsid w:val="00DE4AAC"/>
    <w:rsid w:val="00DF18E6"/>
    <w:rsid w:val="00DF6A7B"/>
    <w:rsid w:val="00E031CB"/>
    <w:rsid w:val="00E0562E"/>
    <w:rsid w:val="00E23461"/>
    <w:rsid w:val="00E32351"/>
    <w:rsid w:val="00E34491"/>
    <w:rsid w:val="00E56411"/>
    <w:rsid w:val="00E573E4"/>
    <w:rsid w:val="00E63340"/>
    <w:rsid w:val="00E6742F"/>
    <w:rsid w:val="00EA0CAF"/>
    <w:rsid w:val="00EA553D"/>
    <w:rsid w:val="00EC6256"/>
    <w:rsid w:val="00EE11C2"/>
    <w:rsid w:val="00F110C5"/>
    <w:rsid w:val="00F15E13"/>
    <w:rsid w:val="00F310A4"/>
    <w:rsid w:val="00F54A1D"/>
    <w:rsid w:val="00F54E38"/>
    <w:rsid w:val="00F63A84"/>
    <w:rsid w:val="00F640FF"/>
    <w:rsid w:val="00F702F6"/>
    <w:rsid w:val="00F90B0B"/>
    <w:rsid w:val="00F949ED"/>
    <w:rsid w:val="00F955A2"/>
    <w:rsid w:val="00F96C78"/>
    <w:rsid w:val="00FA771D"/>
    <w:rsid w:val="00FD3CC6"/>
    <w:rsid w:val="00FE0B49"/>
    <w:rsid w:val="00FE17F9"/>
    <w:rsid w:val="00FE2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CA85F8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600D2"/>
    <w:pPr>
      <w:spacing w:after="120"/>
      <w:jc w:val="both"/>
    </w:pPr>
    <w:rPr>
      <w:sz w:val="24"/>
    </w:rPr>
  </w:style>
  <w:style w:type="paragraph" w:styleId="Ttulo1">
    <w:name w:val="heading 1"/>
    <w:basedOn w:val="Normal"/>
    <w:next w:val="Normal"/>
    <w:qFormat/>
    <w:rsid w:val="00934234"/>
    <w:pPr>
      <w:keepNext/>
      <w:tabs>
        <w:tab w:val="left" w:pos="0"/>
        <w:tab w:val="right" w:pos="9388"/>
      </w:tabs>
      <w:outlineLvl w:val="0"/>
    </w:pPr>
    <w:rPr>
      <w:b/>
      <w:caps/>
    </w:rPr>
  </w:style>
  <w:style w:type="paragraph" w:styleId="Ttulo2">
    <w:name w:val="heading 2"/>
    <w:basedOn w:val="Ttulo1"/>
    <w:next w:val="Normal"/>
    <w:qFormat/>
    <w:rsid w:val="00934234"/>
    <w:pPr>
      <w:outlineLvl w:val="1"/>
    </w:pPr>
    <w:rPr>
      <w:caps w:val="0"/>
    </w:rPr>
  </w:style>
  <w:style w:type="paragraph" w:styleId="Ttulo3">
    <w:name w:val="heading 3"/>
    <w:basedOn w:val="Normal"/>
    <w:next w:val="Normal"/>
    <w:qFormat/>
    <w:pPr>
      <w:keepNext/>
      <w:jc w:val="center"/>
      <w:outlineLvl w:val="2"/>
    </w:pPr>
    <w:rPr>
      <w:rFonts w:ascii="Arial" w:hAnsi="Arial"/>
      <w:b/>
      <w:sz w:val="28"/>
    </w:rPr>
  </w:style>
  <w:style w:type="paragraph" w:styleId="Ttulo4">
    <w:name w:val="heading 4"/>
    <w:basedOn w:val="Normal"/>
    <w:next w:val="Normal"/>
    <w:qFormat/>
    <w:pPr>
      <w:keepNext/>
      <w:outlineLvl w:val="3"/>
    </w:pPr>
    <w:rPr>
      <w:rFonts w:ascii="Arial" w:hAnsi="Arial"/>
      <w:sz w:val="16"/>
      <w:u w:val="single"/>
    </w:rPr>
  </w:style>
  <w:style w:type="paragraph" w:styleId="Ttulo5">
    <w:name w:val="heading 5"/>
    <w:basedOn w:val="Normal"/>
    <w:next w:val="Normal"/>
    <w:qFormat/>
    <w:pPr>
      <w:keepNext/>
      <w:jc w:val="center"/>
      <w:outlineLvl w:val="4"/>
    </w:pPr>
    <w:rPr>
      <w:rFonts w:ascii="Arial" w:hAnsi="Arial"/>
      <w:b/>
    </w:rPr>
  </w:style>
  <w:style w:type="paragraph" w:styleId="Ttulo6">
    <w:name w:val="heading 6"/>
    <w:basedOn w:val="Normal"/>
    <w:next w:val="Normal"/>
    <w:qFormat/>
    <w:pPr>
      <w:keepNext/>
      <w:jc w:val="center"/>
      <w:outlineLvl w:val="5"/>
    </w:pPr>
    <w:rPr>
      <w:rFonts w:ascii="Arial" w:hAnsi="Arial"/>
      <w:sz w:val="32"/>
    </w:rPr>
  </w:style>
  <w:style w:type="paragraph" w:styleId="Ttulo7">
    <w:name w:val="heading 7"/>
    <w:basedOn w:val="Normal"/>
    <w:next w:val="Normal"/>
    <w:qFormat/>
    <w:pPr>
      <w:keepNext/>
      <w:jc w:val="right"/>
      <w:outlineLvl w:val="6"/>
    </w:pPr>
    <w:rPr>
      <w:rFonts w:ascii="Arial Black" w:hAnsi="Arial Black"/>
      <w:b/>
      <w:i/>
      <w:sz w:val="28"/>
    </w:rPr>
  </w:style>
  <w:style w:type="paragraph" w:styleId="Ttulo8">
    <w:name w:val="heading 8"/>
    <w:basedOn w:val="Normal"/>
    <w:next w:val="Normal"/>
    <w:qFormat/>
    <w:pPr>
      <w:keepNext/>
      <w:jc w:val="center"/>
      <w:outlineLvl w:val="7"/>
    </w:pPr>
    <w:rPr>
      <w:rFonts w:ascii="Arial" w:hAnsi="Arial"/>
      <w:b/>
      <w:sz w:val="54"/>
    </w:rPr>
  </w:style>
  <w:style w:type="paragraph" w:styleId="Ttulo9">
    <w:name w:val="heading 9"/>
    <w:basedOn w:val="Normal"/>
    <w:next w:val="Normal"/>
    <w:qFormat/>
    <w:pPr>
      <w:keepNext/>
      <w:jc w:val="center"/>
      <w:outlineLvl w:val="8"/>
    </w:pPr>
    <w:rPr>
      <w:rFonts w:ascii="Arial" w:hAnsi="Arial"/>
      <w:b/>
      <w:i/>
      <w:sz w:val="7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WfxFaxNum">
    <w:name w:val="WfxFaxNum"/>
    <w:basedOn w:val="Normal"/>
  </w:style>
  <w:style w:type="paragraph" w:customStyle="1" w:styleId="WfxTime">
    <w:name w:val="WfxTime"/>
    <w:basedOn w:val="Normal"/>
  </w:style>
  <w:style w:type="paragraph" w:customStyle="1" w:styleId="WfxDate">
    <w:name w:val="WfxDate"/>
    <w:basedOn w:val="Normal"/>
  </w:style>
  <w:style w:type="paragraph" w:customStyle="1" w:styleId="WfxRecipient">
    <w:name w:val="WfxRecipient"/>
    <w:basedOn w:val="Normal"/>
  </w:style>
  <w:style w:type="paragraph" w:customStyle="1" w:styleId="WfxCompany">
    <w:name w:val="WfxCompany"/>
    <w:basedOn w:val="Normal"/>
  </w:style>
  <w:style w:type="paragraph" w:customStyle="1" w:styleId="WfxSubject">
    <w:name w:val="WfxSubject"/>
    <w:basedOn w:val="Normal"/>
  </w:style>
  <w:style w:type="paragraph" w:customStyle="1" w:styleId="WfxKeyword">
    <w:name w:val="WfxKeyword"/>
    <w:basedOn w:val="Normal"/>
  </w:style>
  <w:style w:type="paragraph" w:customStyle="1" w:styleId="WfxBillCode">
    <w:name w:val="WfxBillCode"/>
    <w:basedOn w:val="Normal"/>
  </w:style>
  <w:style w:type="paragraph" w:customStyle="1" w:styleId="Corpodetexto21">
    <w:name w:val="Corpo de texto 21"/>
    <w:basedOn w:val="Normal"/>
    <w:pPr>
      <w:ind w:right="57" w:firstLine="709"/>
    </w:pPr>
    <w:rPr>
      <w:sz w:val="28"/>
    </w:rPr>
  </w:style>
  <w:style w:type="paragraph" w:styleId="Sumrio1">
    <w:name w:val="toc 1"/>
    <w:basedOn w:val="Normal"/>
    <w:next w:val="Normal"/>
    <w:semiHidden/>
    <w:pPr>
      <w:spacing w:before="120"/>
    </w:pPr>
    <w:rPr>
      <w:b/>
      <w:i/>
    </w:rPr>
  </w:style>
  <w:style w:type="paragraph" w:customStyle="1" w:styleId="Paragrafo">
    <w:name w:val="Paragrafo"/>
    <w:basedOn w:val="Normal"/>
    <w:pPr>
      <w:spacing w:before="240"/>
      <w:ind w:firstLine="720"/>
    </w:pPr>
  </w:style>
  <w:style w:type="paragraph" w:styleId="Sumrio2">
    <w:name w:val="toc 2"/>
    <w:basedOn w:val="Normal"/>
    <w:next w:val="Normal"/>
    <w:semiHidden/>
    <w:pPr>
      <w:spacing w:before="120"/>
      <w:ind w:left="200"/>
    </w:pPr>
    <w:rPr>
      <w:b/>
      <w:sz w:val="22"/>
    </w:rPr>
  </w:style>
  <w:style w:type="paragraph" w:styleId="Sumrio3">
    <w:name w:val="toc 3"/>
    <w:basedOn w:val="Normal"/>
    <w:next w:val="Normal"/>
    <w:semiHidden/>
    <w:pPr>
      <w:ind w:left="400"/>
    </w:pPr>
  </w:style>
  <w:style w:type="paragraph" w:styleId="Sumrio4">
    <w:name w:val="toc 4"/>
    <w:basedOn w:val="Normal"/>
    <w:next w:val="Normal"/>
    <w:semiHidden/>
    <w:pPr>
      <w:ind w:left="600"/>
    </w:pPr>
  </w:style>
  <w:style w:type="paragraph" w:styleId="Sumrio5">
    <w:name w:val="toc 5"/>
    <w:basedOn w:val="Normal"/>
    <w:next w:val="Normal"/>
    <w:semiHidden/>
    <w:pPr>
      <w:ind w:left="800"/>
    </w:pPr>
  </w:style>
  <w:style w:type="paragraph" w:styleId="Sumrio6">
    <w:name w:val="toc 6"/>
    <w:basedOn w:val="Normal"/>
    <w:next w:val="Normal"/>
    <w:semiHidden/>
    <w:pPr>
      <w:ind w:left="1000"/>
    </w:pPr>
  </w:style>
  <w:style w:type="paragraph" w:styleId="Sumrio7">
    <w:name w:val="toc 7"/>
    <w:basedOn w:val="Normal"/>
    <w:next w:val="Normal"/>
    <w:semiHidden/>
    <w:pPr>
      <w:ind w:left="1200"/>
    </w:pPr>
  </w:style>
  <w:style w:type="paragraph" w:styleId="Sumrio8">
    <w:name w:val="toc 8"/>
    <w:basedOn w:val="Normal"/>
    <w:next w:val="Normal"/>
    <w:semiHidden/>
    <w:pPr>
      <w:ind w:left="1400"/>
    </w:pPr>
  </w:style>
  <w:style w:type="paragraph" w:styleId="Sumrio9">
    <w:name w:val="toc 9"/>
    <w:basedOn w:val="Normal"/>
    <w:next w:val="Normal"/>
    <w:semiHidden/>
    <w:pPr>
      <w:ind w:left="1600"/>
    </w:pPr>
  </w:style>
  <w:style w:type="paragraph" w:customStyle="1" w:styleId="Subitem">
    <w:name w:val="Subitem"/>
    <w:basedOn w:val="Normal"/>
    <w:pPr>
      <w:tabs>
        <w:tab w:val="left" w:pos="360"/>
      </w:tabs>
      <w:spacing w:before="120"/>
      <w:ind w:left="357" w:hanging="357"/>
    </w:pPr>
  </w:style>
  <w:style w:type="paragraph" w:customStyle="1" w:styleId="Item">
    <w:name w:val="Item"/>
    <w:basedOn w:val="Paragrafo"/>
    <w:pPr>
      <w:spacing w:before="120"/>
      <w:ind w:left="1117" w:hanging="397"/>
    </w:pPr>
  </w:style>
  <w:style w:type="paragraph" w:customStyle="1" w:styleId="Author">
    <w:name w:val="Author"/>
    <w:basedOn w:val="Normal"/>
    <w:pPr>
      <w:spacing w:line="280" w:lineRule="exact"/>
      <w:jc w:val="right"/>
    </w:pPr>
    <w:rPr>
      <w:rFonts w:ascii="Helvetica" w:hAnsi="Helvetica"/>
      <w:b/>
      <w:lang w:val="en-US"/>
    </w:rPr>
  </w:style>
  <w:style w:type="paragraph" w:customStyle="1" w:styleId="Affiliation">
    <w:name w:val="Affiliation"/>
    <w:basedOn w:val="Normal"/>
    <w:pPr>
      <w:spacing w:after="240" w:line="240" w:lineRule="exact"/>
      <w:jc w:val="right"/>
    </w:pPr>
    <w:rPr>
      <w:rFonts w:ascii="Helvetica" w:hAnsi="Helvetica"/>
      <w:lang w:val="en-US"/>
    </w:rPr>
  </w:style>
  <w:style w:type="paragraph" w:customStyle="1" w:styleId="MainHead">
    <w:name w:val="Main Head"/>
    <w:basedOn w:val="Normal"/>
    <w:pPr>
      <w:keepNext/>
      <w:spacing w:after="240"/>
    </w:pPr>
    <w:rPr>
      <w:b/>
      <w:caps/>
      <w:lang w:val="en-US"/>
    </w:rPr>
  </w:style>
  <w:style w:type="paragraph" w:customStyle="1" w:styleId="Body">
    <w:name w:val="Body"/>
    <w:basedOn w:val="Normal"/>
    <w:pPr>
      <w:spacing w:after="240"/>
      <w:ind w:firstLine="454"/>
    </w:pPr>
    <w:rPr>
      <w:lang w:val="en-US"/>
    </w:rPr>
  </w:style>
  <w:style w:type="paragraph" w:customStyle="1" w:styleId="PaperNumber">
    <w:name w:val="Paper Number"/>
    <w:basedOn w:val="Normal"/>
    <w:pPr>
      <w:spacing w:after="280" w:line="280" w:lineRule="exact"/>
      <w:jc w:val="right"/>
    </w:pPr>
    <w:rPr>
      <w:rFonts w:ascii="Helvetica" w:hAnsi="Helvetica"/>
      <w:b/>
      <w:sz w:val="28"/>
      <w:lang w:val="en-US"/>
    </w:rPr>
  </w:style>
  <w:style w:type="paragraph" w:customStyle="1" w:styleId="Copyright">
    <w:name w:val="Copyright"/>
    <w:basedOn w:val="Normal"/>
    <w:pPr>
      <w:spacing w:after="960" w:line="200" w:lineRule="exact"/>
    </w:pPr>
    <w:rPr>
      <w:rFonts w:ascii="Helvetica" w:hAnsi="Helvetica"/>
      <w:sz w:val="16"/>
      <w:lang w:val="en-US"/>
    </w:rPr>
  </w:style>
  <w:style w:type="paragraph" w:styleId="Ttulo">
    <w:name w:val="Title"/>
    <w:basedOn w:val="Normal"/>
    <w:qFormat/>
    <w:pPr>
      <w:spacing w:after="360"/>
      <w:jc w:val="right"/>
    </w:pPr>
    <w:rPr>
      <w:rFonts w:ascii="Helvetica" w:hAnsi="Helvetica"/>
      <w:b/>
      <w:kern w:val="28"/>
      <w:sz w:val="36"/>
      <w:lang w:val="en-US"/>
    </w:rPr>
  </w:style>
  <w:style w:type="paragraph" w:styleId="Rodap">
    <w:name w:val="footer"/>
    <w:basedOn w:val="Normal"/>
    <w:link w:val="RodapChar"/>
    <w:pPr>
      <w:tabs>
        <w:tab w:val="center" w:pos="4153"/>
        <w:tab w:val="right" w:pos="8306"/>
      </w:tabs>
    </w:pPr>
  </w:style>
  <w:style w:type="character" w:styleId="Nmerodepgina">
    <w:name w:val="page number"/>
    <w:basedOn w:val="Fontepargpadro"/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</w:pPr>
  </w:style>
  <w:style w:type="paragraph" w:styleId="Corpodetexto">
    <w:name w:val="Body Text"/>
    <w:basedOn w:val="Normal"/>
    <w:rPr>
      <w:rFonts w:ascii="Arial" w:hAnsi="Arial"/>
      <w:sz w:val="28"/>
    </w:rPr>
  </w:style>
  <w:style w:type="paragraph" w:customStyle="1" w:styleId="Corpodetexto22">
    <w:name w:val="Corpo de texto 22"/>
    <w:basedOn w:val="Normal"/>
    <w:rPr>
      <w:rFonts w:ascii="Arial" w:hAnsi="Arial"/>
      <w:lang w:val="en-US"/>
    </w:rPr>
  </w:style>
  <w:style w:type="paragraph" w:customStyle="1" w:styleId="Corpodetexto31">
    <w:name w:val="Corpo de texto 31"/>
    <w:basedOn w:val="Normal"/>
    <w:rPr>
      <w:rFonts w:ascii="Arial" w:hAnsi="Arial"/>
    </w:rPr>
  </w:style>
  <w:style w:type="paragraph" w:styleId="Textodenotaderodap">
    <w:name w:val="footnote text"/>
    <w:basedOn w:val="Normal"/>
    <w:semiHidden/>
  </w:style>
  <w:style w:type="character" w:styleId="Refdenotaderodap">
    <w:name w:val="footnote reference"/>
    <w:semiHidden/>
    <w:rPr>
      <w:vertAlign w:val="superscript"/>
    </w:rPr>
  </w:style>
  <w:style w:type="character" w:styleId="Hyperlink">
    <w:name w:val="Hyperlink"/>
    <w:rsid w:val="00CD1CED"/>
    <w:rPr>
      <w:color w:val="0000FF"/>
      <w:u w:val="single"/>
    </w:rPr>
  </w:style>
  <w:style w:type="character" w:styleId="HiperlinkVisitado">
    <w:name w:val="FollowedHyperlink"/>
    <w:rsid w:val="00561619"/>
    <w:rPr>
      <w:color w:val="800080"/>
      <w:u w:val="single"/>
    </w:rPr>
  </w:style>
  <w:style w:type="paragraph" w:styleId="Textodebalo">
    <w:name w:val="Balloon Text"/>
    <w:basedOn w:val="Normal"/>
    <w:link w:val="TextodebaloChar"/>
    <w:rsid w:val="00602C2E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rsid w:val="00602C2E"/>
    <w:rPr>
      <w:rFonts w:ascii="Segoe UI" w:hAnsi="Segoe UI" w:cs="Segoe UI"/>
      <w:sz w:val="18"/>
      <w:szCs w:val="18"/>
    </w:rPr>
  </w:style>
  <w:style w:type="character" w:customStyle="1" w:styleId="CabealhoChar">
    <w:name w:val="Cabeçalho Char"/>
    <w:basedOn w:val="Fontepargpadro"/>
    <w:link w:val="Cabealho"/>
    <w:uiPriority w:val="99"/>
    <w:rsid w:val="00D37974"/>
  </w:style>
  <w:style w:type="character" w:customStyle="1" w:styleId="RodapChar">
    <w:name w:val="Rodapé Char"/>
    <w:basedOn w:val="Fontepargpadro"/>
    <w:link w:val="Rodap"/>
    <w:rsid w:val="000E45EA"/>
  </w:style>
  <w:style w:type="paragraph" w:styleId="Legenda">
    <w:name w:val="caption"/>
    <w:basedOn w:val="Normal"/>
    <w:next w:val="Normal"/>
    <w:unhideWhenUsed/>
    <w:qFormat/>
    <w:rsid w:val="0006047E"/>
    <w:rPr>
      <w:iCs/>
      <w:sz w:val="20"/>
      <w:szCs w:val="18"/>
    </w:rPr>
  </w:style>
  <w:style w:type="character" w:styleId="Refdecomentrio">
    <w:name w:val="annotation reference"/>
    <w:basedOn w:val="Fontepargpadro"/>
    <w:rsid w:val="0078427D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78427D"/>
    <w:rPr>
      <w:sz w:val="20"/>
    </w:rPr>
  </w:style>
  <w:style w:type="character" w:customStyle="1" w:styleId="TextodecomentrioChar">
    <w:name w:val="Texto de comentário Char"/>
    <w:basedOn w:val="Fontepargpadro"/>
    <w:link w:val="Textodecomentrio"/>
    <w:rsid w:val="0078427D"/>
  </w:style>
  <w:style w:type="paragraph" w:styleId="Assuntodocomentrio">
    <w:name w:val="annotation subject"/>
    <w:basedOn w:val="Textodecomentrio"/>
    <w:next w:val="Textodecomentrio"/>
    <w:link w:val="AssuntodocomentrioChar"/>
    <w:rsid w:val="0078427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rsid w:val="0078427D"/>
    <w:rPr>
      <w:b/>
      <w:bCs/>
    </w:rPr>
  </w:style>
  <w:style w:type="paragraph" w:styleId="Reviso">
    <w:name w:val="Revision"/>
    <w:hidden/>
    <w:uiPriority w:val="71"/>
    <w:semiHidden/>
    <w:rsid w:val="0078427D"/>
    <w:rPr>
      <w:sz w:val="24"/>
    </w:rPr>
  </w:style>
  <w:style w:type="character" w:styleId="TextodoEspaoReservado">
    <w:name w:val="Placeholder Text"/>
    <w:basedOn w:val="Fontepargpadro"/>
    <w:uiPriority w:val="67"/>
    <w:semiHidden/>
    <w:rsid w:val="008C1BA6"/>
    <w:rPr>
      <w:color w:val="808080"/>
    </w:rPr>
  </w:style>
  <w:style w:type="table" w:styleId="Tabelacomgrade">
    <w:name w:val="Table Grid"/>
    <w:basedOn w:val="Tabelanormal"/>
    <w:rsid w:val="003906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comments" Target="comment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microsoft.com/office/2018/08/relationships/commentsExtensible" Target="commentsExtensible.xm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png"/><Relationship Id="rId22" Type="http://schemas.microsoft.com/office/2011/relationships/people" Target="peop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7</Pages>
  <Words>2605</Words>
  <Characters>14852</Characters>
  <Application>Microsoft Office Word</Application>
  <DocSecurity>0</DocSecurity>
  <Lines>123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Ethan Frome</vt:lpstr>
    </vt:vector>
  </TitlesOfParts>
  <Company> </Company>
  <LinksUpToDate>false</LinksUpToDate>
  <CharactersWithSpaces>17423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Ethan Frome</dc:title>
  <dc:subject/>
  <dc:creator>EW/LN/CB</dc:creator>
  <cp:keywords>Ethan</cp:keywords>
  <dc:description/>
  <cp:lastModifiedBy>Eduardo Lima</cp:lastModifiedBy>
  <cp:revision>3</cp:revision>
  <cp:lastPrinted>2011-04-12T18:09:00Z</cp:lastPrinted>
  <dcterms:created xsi:type="dcterms:W3CDTF">2023-05-29T21:11:00Z</dcterms:created>
  <dcterms:modified xsi:type="dcterms:W3CDTF">2023-05-29T21:38:00Z</dcterms:modified>
</cp:coreProperties>
</file>